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A2429A" w:rsidRDefault="0094424E" w:rsidP="00A2429A">
      <w:pPr>
        <w:suppressLineNumbers/>
        <w:rPr>
          <w:b/>
          <w:bCs/>
          <w:sz w:val="26"/>
          <w:szCs w:val="26"/>
          <w:rtl/>
        </w:rPr>
      </w:pPr>
      <w:bookmarkStart w:id="0" w:name="_GoBack"/>
      <w:bookmarkEnd w:id="0"/>
      <w:r w:rsidRPr="00FA4EAF">
        <w:rPr>
          <w:sz w:val="26"/>
          <w:szCs w:val="26"/>
          <w:rtl/>
        </w:rPr>
        <w:t xml:space="preserve"> </w:t>
      </w:r>
      <w:r w:rsidR="00A2429A" w:rsidRPr="00A2429A">
        <w:rPr>
          <w:rFonts w:hint="cs"/>
          <w:b/>
          <w:bCs/>
          <w:sz w:val="26"/>
          <w:szCs w:val="26"/>
          <w:rtl/>
        </w:rPr>
        <w:t>לפני כב' השופט נפתלי שילה</w:t>
      </w:r>
    </w:p>
    <w:tbl>
      <w:tblPr>
        <w:tblStyle w:val="a9"/>
        <w:bidiVisual/>
        <w:tblW w:w="83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61"/>
        <w:gridCol w:w="7452"/>
      </w:tblGrid>
      <w:tr w:rsidR="0094424E" w:rsidRPr="00A2429A" w:rsidTr="00A2429A">
        <w:trPr>
          <w:jc w:val="center"/>
        </w:trPr>
        <w:tc>
          <w:tcPr>
            <w:tcW w:w="861" w:type="dxa"/>
          </w:tcPr>
          <w:p w:rsidR="0094424E" w:rsidRPr="00A2429A" w:rsidRDefault="0094424E" w:rsidP="001C5B01">
            <w:pPr>
              <w:suppressLineNumbers/>
              <w:jc w:val="both"/>
              <w:rPr>
                <w:rFonts w:ascii="Arial" w:hAnsi="Arial"/>
                <w:b/>
                <w:bCs/>
                <w:sz w:val="26"/>
                <w:szCs w:val="26"/>
                <w:rtl/>
              </w:rPr>
            </w:pPr>
          </w:p>
        </w:tc>
        <w:tc>
          <w:tcPr>
            <w:tcW w:w="7452" w:type="dxa"/>
          </w:tcPr>
          <w:p w:rsidR="0094424E" w:rsidRPr="00A2429A" w:rsidRDefault="0094424E" w:rsidP="001C5B01">
            <w:pPr>
              <w:suppressLineNumbers/>
              <w:rPr>
                <w:rFonts w:ascii="Arial" w:hAnsi="Arial" w:cs="FrankRuehl"/>
                <w:b/>
                <w:bCs/>
                <w:sz w:val="26"/>
                <w:szCs w:val="26"/>
                <w:highlight w:val="yellow"/>
              </w:rPr>
            </w:pPr>
          </w:p>
        </w:tc>
      </w:tr>
    </w:tbl>
    <w:p w:rsidR="00A2429A" w:rsidRDefault="00A2429A" w:rsidP="00A2429A">
      <w:pPr>
        <w:suppressLineNumbers/>
        <w:rPr>
          <w:sz w:val="26"/>
          <w:szCs w:val="26"/>
        </w:rPr>
      </w:pPr>
      <w:bookmarkStart w:id="1" w:name="NGCSBookmark"/>
      <w:bookmarkEnd w:id="1"/>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2429A" w:rsidTr="00A2429A">
        <w:trPr>
          <w:jc w:val="center"/>
        </w:trPr>
        <w:tc>
          <w:tcPr>
            <w:tcW w:w="743" w:type="dxa"/>
          </w:tcPr>
          <w:p w:rsidR="00A2429A" w:rsidRDefault="00A2429A">
            <w:pPr>
              <w:suppressLineNumbers/>
              <w:jc w:val="both"/>
              <w:rPr>
                <w:rFonts w:ascii="Arial" w:hAnsi="Arial"/>
                <w:b/>
                <w:bCs/>
                <w:sz w:val="26"/>
                <w:szCs w:val="26"/>
                <w:rtl/>
              </w:rPr>
            </w:pPr>
          </w:p>
        </w:tc>
        <w:tc>
          <w:tcPr>
            <w:tcW w:w="8077" w:type="dxa"/>
            <w:gridSpan w:val="2"/>
          </w:tcPr>
          <w:p w:rsidR="00A2429A" w:rsidRDefault="00A2429A">
            <w:pPr>
              <w:suppressLineNumbers/>
              <w:rPr>
                <w:rFonts w:ascii="Arial" w:hAnsi="Arial" w:cs="FrankRuehl"/>
                <w:sz w:val="26"/>
                <w:szCs w:val="26"/>
                <w:highlight w:val="yellow"/>
                <w:rtl/>
              </w:rPr>
            </w:pPr>
          </w:p>
        </w:tc>
      </w:tr>
      <w:tr w:rsidR="00A2429A" w:rsidTr="00A2429A">
        <w:trPr>
          <w:jc w:val="center"/>
        </w:trPr>
        <w:tc>
          <w:tcPr>
            <w:tcW w:w="3249" w:type="dxa"/>
            <w:gridSpan w:val="2"/>
            <w:hideMark/>
          </w:tcPr>
          <w:sdt>
            <w:sdtPr>
              <w:rPr>
                <w:sz w:val="26"/>
                <w:szCs w:val="26"/>
                <w:rtl/>
              </w:rPr>
              <w:alias w:val="1180"/>
              <w:tag w:val="1180"/>
              <w:id w:val="637458750"/>
              <w:text w:multiLine="1"/>
            </w:sdtPr>
            <w:sdtEndPr/>
            <w:sdtContent>
              <w:p w:rsidR="00A2429A" w:rsidRDefault="00A2429A">
                <w:pPr>
                  <w:suppressLineNumbers/>
                  <w:rPr>
                    <w:rFonts w:ascii="Arial" w:hAnsi="Arial"/>
                    <w:b/>
                    <w:bCs/>
                    <w:noProof w:val="0"/>
                    <w:sz w:val="26"/>
                    <w:szCs w:val="26"/>
                  </w:rPr>
                </w:pPr>
                <w:r>
                  <w:rPr>
                    <w:rFonts w:ascii="Arial" w:hAnsi="Arial"/>
                    <w:b/>
                    <w:bCs/>
                    <w:noProof w:val="0"/>
                    <w:sz w:val="26"/>
                    <w:szCs w:val="26"/>
                    <w:rtl/>
                  </w:rPr>
                  <w:t>המבקש</w:t>
                </w:r>
              </w:p>
            </w:sdtContent>
          </w:sdt>
        </w:tc>
        <w:tc>
          <w:tcPr>
            <w:tcW w:w="5571" w:type="dxa"/>
            <w:hideMark/>
          </w:tcPr>
          <w:p w:rsidR="00A2429A" w:rsidRDefault="00124EE3">
            <w:pPr>
              <w:suppressLineNumbers/>
              <w:rPr>
                <w:sz w:val="26"/>
                <w:szCs w:val="26"/>
                <w:rtl/>
              </w:rPr>
            </w:pPr>
            <w:sdt>
              <w:sdtPr>
                <w:rPr>
                  <w:sz w:val="26"/>
                  <w:szCs w:val="26"/>
                  <w:rtl/>
                </w:rPr>
                <w:alias w:val="1478"/>
                <w:tag w:val="1478"/>
                <w:id w:val="-2076122985"/>
                <w:text w:multiLine="1"/>
              </w:sdtPr>
              <w:sdtEndPr/>
              <w:sdtContent>
                <w:r w:rsidR="00171A84">
                  <w:rPr>
                    <w:rFonts w:ascii="Arial" w:hAnsi="Arial"/>
                    <w:b/>
                    <w:bCs/>
                    <w:noProof w:val="0"/>
                    <w:sz w:val="26"/>
                    <w:szCs w:val="26"/>
                    <w:rtl/>
                  </w:rPr>
                  <w:t>מ</w:t>
                </w:r>
                <w:r w:rsidR="00171A84">
                  <w:rPr>
                    <w:rFonts w:ascii="Arial" w:hAnsi="Arial" w:hint="cs"/>
                    <w:b/>
                    <w:bCs/>
                    <w:noProof w:val="0"/>
                    <w:sz w:val="26"/>
                    <w:szCs w:val="26"/>
                    <w:rtl/>
                  </w:rPr>
                  <w:t xml:space="preserve">' פ' </w:t>
                </w:r>
              </w:sdtContent>
            </w:sdt>
          </w:p>
          <w:p w:rsidR="00A2429A" w:rsidRDefault="00A2429A">
            <w:pPr>
              <w:suppressLineNumbers/>
              <w:rPr>
                <w:b/>
                <w:bCs/>
                <w:noProof w:val="0"/>
                <w:sz w:val="26"/>
                <w:szCs w:val="26"/>
                <w:rtl/>
              </w:rPr>
            </w:pPr>
            <w:r>
              <w:rPr>
                <w:b/>
                <w:bCs/>
                <w:sz w:val="26"/>
                <w:szCs w:val="26"/>
                <w:rtl/>
              </w:rPr>
              <w:t>ע"י ב"כ עו"ד</w:t>
            </w:r>
            <w:r>
              <w:rPr>
                <w:b/>
                <w:bCs/>
                <w:noProof w:val="0"/>
                <w:sz w:val="26"/>
                <w:szCs w:val="26"/>
                <w:rtl/>
              </w:rPr>
              <w:t xml:space="preserve"> גד טיכו </w:t>
            </w:r>
          </w:p>
        </w:tc>
      </w:tr>
      <w:tr w:rsidR="00A2429A" w:rsidTr="00A2429A">
        <w:trPr>
          <w:jc w:val="center"/>
        </w:trPr>
        <w:tc>
          <w:tcPr>
            <w:tcW w:w="8820" w:type="dxa"/>
            <w:gridSpan w:val="3"/>
          </w:tcPr>
          <w:p w:rsidR="00A2429A" w:rsidRDefault="00A2429A">
            <w:pPr>
              <w:suppressLineNumbers/>
              <w:rPr>
                <w:rFonts w:ascii="Arial" w:hAnsi="Arial"/>
                <w:b/>
                <w:bCs/>
                <w:noProof w:val="0"/>
                <w:sz w:val="26"/>
                <w:szCs w:val="26"/>
              </w:rPr>
            </w:pPr>
          </w:p>
          <w:p w:rsidR="00A2429A" w:rsidRDefault="00A2429A">
            <w:pPr>
              <w:suppressLineNumbers/>
              <w:jc w:val="center"/>
              <w:rPr>
                <w:rFonts w:ascii="Arial" w:hAnsi="Arial"/>
                <w:b/>
                <w:bCs/>
                <w:noProof w:val="0"/>
                <w:sz w:val="26"/>
                <w:szCs w:val="26"/>
                <w:rtl/>
              </w:rPr>
            </w:pPr>
            <w:r>
              <w:rPr>
                <w:rFonts w:ascii="Arial" w:hAnsi="Arial"/>
                <w:b/>
                <w:bCs/>
                <w:noProof w:val="0"/>
                <w:sz w:val="26"/>
                <w:szCs w:val="26"/>
                <w:rtl/>
              </w:rPr>
              <w:t>נגד</w:t>
            </w:r>
          </w:p>
          <w:p w:rsidR="00A2429A" w:rsidRDefault="00A2429A">
            <w:pPr>
              <w:suppressLineNumbers/>
              <w:rPr>
                <w:rFonts w:ascii="Arial" w:hAnsi="Arial"/>
                <w:b/>
                <w:bCs/>
                <w:noProof w:val="0"/>
                <w:sz w:val="26"/>
                <w:szCs w:val="26"/>
                <w:rtl/>
              </w:rPr>
            </w:pPr>
          </w:p>
        </w:tc>
      </w:tr>
      <w:tr w:rsidR="00A2429A" w:rsidTr="00A2429A">
        <w:trPr>
          <w:jc w:val="center"/>
        </w:trPr>
        <w:tc>
          <w:tcPr>
            <w:tcW w:w="3249" w:type="dxa"/>
            <w:gridSpan w:val="2"/>
            <w:hideMark/>
          </w:tcPr>
          <w:p w:rsidR="00A2429A" w:rsidRDefault="00124EE3">
            <w:pPr>
              <w:suppressLineNumbers/>
              <w:rPr>
                <w:rFonts w:ascii="Arial" w:hAnsi="Arial"/>
                <w:b/>
                <w:bCs/>
                <w:noProof w:val="0"/>
                <w:sz w:val="26"/>
                <w:szCs w:val="26"/>
              </w:rPr>
            </w:pPr>
            <w:sdt>
              <w:sdtPr>
                <w:rPr>
                  <w:sz w:val="26"/>
                  <w:szCs w:val="26"/>
                  <w:rtl/>
                </w:rPr>
                <w:alias w:val="1184"/>
                <w:tag w:val="1184"/>
                <w:id w:val="-340621022"/>
                <w:text w:multiLine="1"/>
              </w:sdtPr>
              <w:sdtEndPr/>
              <w:sdtContent>
                <w:r w:rsidR="00A2429A">
                  <w:rPr>
                    <w:rFonts w:ascii="Arial" w:hAnsi="Arial"/>
                    <w:b/>
                    <w:bCs/>
                    <w:noProof w:val="0"/>
                    <w:sz w:val="26"/>
                    <w:szCs w:val="26"/>
                    <w:rtl/>
                  </w:rPr>
                  <w:t>המשיבים</w:t>
                </w:r>
              </w:sdtContent>
            </w:sdt>
          </w:p>
        </w:tc>
        <w:tc>
          <w:tcPr>
            <w:tcW w:w="5571" w:type="dxa"/>
            <w:hideMark/>
          </w:tcPr>
          <w:p w:rsidR="00A2429A" w:rsidRDefault="00124EE3">
            <w:pPr>
              <w:suppressLineNumbers/>
              <w:rPr>
                <w:sz w:val="26"/>
                <w:szCs w:val="26"/>
              </w:rPr>
            </w:pPr>
            <w:sdt>
              <w:sdtPr>
                <w:rPr>
                  <w:sz w:val="26"/>
                  <w:szCs w:val="26"/>
                  <w:rtl/>
                </w:rPr>
                <w:alias w:val="1571"/>
                <w:tag w:val="1571"/>
                <w:id w:val="1028836282"/>
                <w:text w:multiLine="1"/>
              </w:sdtPr>
              <w:sdtEndPr/>
              <w:sdtContent>
                <w:r w:rsidR="00A2429A">
                  <w:rPr>
                    <w:rFonts w:ascii="Arial" w:hAnsi="Arial"/>
                    <w:b/>
                    <w:bCs/>
                    <w:noProof w:val="0"/>
                    <w:sz w:val="26"/>
                    <w:szCs w:val="26"/>
                    <w:rtl/>
                  </w:rPr>
                  <w:t>1</w:t>
                </w:r>
              </w:sdtContent>
            </w:sdt>
            <w:r w:rsidR="00A2429A">
              <w:rPr>
                <w:rFonts w:ascii="Arial" w:hAnsi="Arial"/>
                <w:b/>
                <w:bCs/>
                <w:noProof w:val="0"/>
                <w:sz w:val="26"/>
                <w:szCs w:val="26"/>
                <w:rtl/>
              </w:rPr>
              <w:t xml:space="preserve">. </w:t>
            </w:r>
            <w:sdt>
              <w:sdtPr>
                <w:rPr>
                  <w:sz w:val="26"/>
                  <w:szCs w:val="26"/>
                  <w:rtl/>
                </w:rPr>
                <w:alias w:val="1486"/>
                <w:tag w:val="1486"/>
                <w:id w:val="-309872140"/>
                <w:text w:multiLine="1"/>
              </w:sdtPr>
              <w:sdtEndPr/>
              <w:sdtContent>
                <w:r w:rsidR="00171A84">
                  <w:rPr>
                    <w:rFonts w:ascii="Arial" w:hAnsi="Arial"/>
                    <w:b/>
                    <w:bCs/>
                    <w:noProof w:val="0"/>
                    <w:sz w:val="26"/>
                    <w:szCs w:val="26"/>
                    <w:rtl/>
                  </w:rPr>
                  <w:t>ר</w:t>
                </w:r>
                <w:r w:rsidR="00171A84">
                  <w:rPr>
                    <w:rFonts w:ascii="Arial" w:hAnsi="Arial" w:hint="cs"/>
                    <w:b/>
                    <w:bCs/>
                    <w:noProof w:val="0"/>
                    <w:sz w:val="26"/>
                    <w:szCs w:val="26"/>
                    <w:rtl/>
                  </w:rPr>
                  <w:t>' א'</w:t>
                </w:r>
              </w:sdtContent>
            </w:sdt>
          </w:p>
          <w:p w:rsidR="00A2429A" w:rsidRDefault="00124EE3">
            <w:pPr>
              <w:suppressLineNumbers/>
              <w:rPr>
                <w:sz w:val="26"/>
                <w:szCs w:val="26"/>
                <w:rtl/>
              </w:rPr>
            </w:pPr>
            <w:sdt>
              <w:sdtPr>
                <w:rPr>
                  <w:sz w:val="26"/>
                  <w:szCs w:val="26"/>
                  <w:rtl/>
                </w:rPr>
                <w:alias w:val="1571"/>
                <w:tag w:val="1571"/>
                <w:id w:val="-1274483183"/>
                <w:text w:multiLine="1"/>
              </w:sdtPr>
              <w:sdtEndPr/>
              <w:sdtContent>
                <w:r w:rsidR="00A2429A">
                  <w:rPr>
                    <w:rFonts w:ascii="Arial" w:hAnsi="Arial"/>
                    <w:b/>
                    <w:bCs/>
                    <w:noProof w:val="0"/>
                    <w:sz w:val="26"/>
                    <w:szCs w:val="26"/>
                    <w:rtl/>
                  </w:rPr>
                  <w:t>2</w:t>
                </w:r>
              </w:sdtContent>
            </w:sdt>
            <w:r w:rsidR="00A2429A">
              <w:rPr>
                <w:rFonts w:ascii="Arial" w:hAnsi="Arial"/>
                <w:b/>
                <w:bCs/>
                <w:noProof w:val="0"/>
                <w:sz w:val="26"/>
                <w:szCs w:val="26"/>
                <w:rtl/>
              </w:rPr>
              <w:t xml:space="preserve">. </w:t>
            </w:r>
            <w:sdt>
              <w:sdtPr>
                <w:rPr>
                  <w:sz w:val="26"/>
                  <w:szCs w:val="26"/>
                  <w:rtl/>
                </w:rPr>
                <w:alias w:val="1486"/>
                <w:tag w:val="1486"/>
                <w:id w:val="-1796123567"/>
                <w:text w:multiLine="1"/>
              </w:sdtPr>
              <w:sdtEndPr/>
              <w:sdtContent>
                <w:r w:rsidR="00171A84">
                  <w:rPr>
                    <w:rFonts w:ascii="Arial" w:hAnsi="Arial"/>
                    <w:b/>
                    <w:bCs/>
                    <w:noProof w:val="0"/>
                    <w:sz w:val="26"/>
                    <w:szCs w:val="26"/>
                    <w:rtl/>
                  </w:rPr>
                  <w:t>י</w:t>
                </w:r>
                <w:r w:rsidR="00171A84">
                  <w:rPr>
                    <w:rFonts w:ascii="Arial" w:hAnsi="Arial" w:hint="cs"/>
                    <w:b/>
                    <w:bCs/>
                    <w:noProof w:val="0"/>
                    <w:sz w:val="26"/>
                    <w:szCs w:val="26"/>
                    <w:rtl/>
                  </w:rPr>
                  <w:t>' א'</w:t>
                </w:r>
              </w:sdtContent>
            </w:sdt>
          </w:p>
          <w:p w:rsidR="00A2429A" w:rsidRDefault="00A2429A">
            <w:pPr>
              <w:suppressLineNumbers/>
              <w:rPr>
                <w:b/>
                <w:bCs/>
                <w:noProof w:val="0"/>
                <w:sz w:val="26"/>
                <w:szCs w:val="26"/>
                <w:rtl/>
              </w:rPr>
            </w:pPr>
            <w:r>
              <w:rPr>
                <w:b/>
                <w:bCs/>
                <w:sz w:val="26"/>
                <w:szCs w:val="26"/>
                <w:rtl/>
              </w:rPr>
              <w:t>ע"י ב"כ עו"ד</w:t>
            </w:r>
            <w:r>
              <w:rPr>
                <w:b/>
                <w:bCs/>
                <w:noProof w:val="0"/>
                <w:sz w:val="26"/>
                <w:szCs w:val="26"/>
                <w:rtl/>
              </w:rPr>
              <w:t xml:space="preserve"> יניב גורן</w:t>
            </w:r>
          </w:p>
        </w:tc>
      </w:tr>
      <w:tr w:rsidR="00A2429A" w:rsidTr="00A2429A">
        <w:trPr>
          <w:jc w:val="center"/>
        </w:trPr>
        <w:tc>
          <w:tcPr>
            <w:tcW w:w="8820" w:type="dxa"/>
            <w:gridSpan w:val="3"/>
          </w:tcPr>
          <w:p w:rsidR="00A2429A" w:rsidRDefault="00A2429A">
            <w:pPr>
              <w:suppressLineNumbers/>
              <w:rPr>
                <w:rFonts w:ascii="Arial" w:hAnsi="Arial"/>
                <w:b/>
                <w:bCs/>
                <w:noProof w:val="0"/>
                <w:sz w:val="26"/>
                <w:szCs w:val="26"/>
                <w:rtl/>
              </w:rPr>
            </w:pPr>
          </w:p>
        </w:tc>
      </w:tr>
    </w:tbl>
    <w:p w:rsidR="00A2429A" w:rsidRDefault="00A2429A" w:rsidP="00A2429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2429A" w:rsidTr="00A2429A">
        <w:trPr>
          <w:jc w:val="center"/>
        </w:trPr>
        <w:tc>
          <w:tcPr>
            <w:tcW w:w="8820" w:type="dxa"/>
            <w:hideMark/>
          </w:tcPr>
          <w:p w:rsidR="00A2429A" w:rsidRDefault="00A2429A">
            <w:pPr>
              <w:suppressLineNumbers/>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A2429A" w:rsidRDefault="00A2429A" w:rsidP="00A2429A">
      <w:pPr>
        <w:suppressLineNumbers/>
        <w:spacing w:line="360" w:lineRule="auto"/>
        <w:jc w:val="both"/>
        <w:rPr>
          <w:rFonts w:ascii="Arial" w:hAnsi="Arial"/>
          <w:noProof w:val="0"/>
        </w:rPr>
      </w:pPr>
    </w:p>
    <w:p w:rsidR="00A2429A" w:rsidRDefault="00A2429A" w:rsidP="007C37CA">
      <w:pPr>
        <w:spacing w:line="360" w:lineRule="auto"/>
        <w:jc w:val="both"/>
        <w:rPr>
          <w:rFonts w:ascii="Arial" w:hAnsi="Arial"/>
          <w:b/>
          <w:bCs/>
          <w:noProof w:val="0"/>
          <w:rtl/>
        </w:rPr>
      </w:pPr>
      <w:r>
        <w:rPr>
          <w:rFonts w:ascii="Arial" w:hAnsi="Arial"/>
          <w:b/>
          <w:bCs/>
          <w:noProof w:val="0"/>
          <w:rtl/>
        </w:rPr>
        <w:t xml:space="preserve">בקשת רשות ערעור על החלטת בית המשפט לענייני משפחה מיום 6.3.23 (כב' השופטת לורן אקוקה בע"ר 21504-01-23) שהורה למבקש להפקיד ערובה בסך 3,000 ₪ בתוך 7 ימים להבטחת הוצאות המשיבים בערעור שהגיש על החלטת רשמת ביהמ"ש קמא מיום 25.12.22, שדחתה את בקשתו לעיון מחדש בהחלטה שדחתה את בקשתו לפטור מתשלום אגרה. </w:t>
      </w:r>
    </w:p>
    <w:p w:rsidR="00A2429A" w:rsidRDefault="00A2429A" w:rsidP="00A2429A">
      <w:pPr>
        <w:spacing w:line="360" w:lineRule="auto"/>
        <w:jc w:val="both"/>
        <w:rPr>
          <w:rFonts w:ascii="Arial" w:hAnsi="Arial"/>
          <w:b/>
          <w:bCs/>
          <w:noProof w:val="0"/>
          <w:rtl/>
        </w:rPr>
      </w:pPr>
    </w:p>
    <w:p w:rsidR="00A2429A" w:rsidRDefault="00A2429A" w:rsidP="00A2429A">
      <w:pPr>
        <w:spacing w:line="360" w:lineRule="auto"/>
        <w:jc w:val="both"/>
        <w:rPr>
          <w:rFonts w:ascii="Arial" w:hAnsi="Arial"/>
          <w:b/>
          <w:bCs/>
          <w:noProof w:val="0"/>
          <w:rtl/>
        </w:rPr>
      </w:pPr>
      <w:r>
        <w:rPr>
          <w:rFonts w:ascii="Arial" w:hAnsi="Arial"/>
          <w:b/>
          <w:bCs/>
          <w:noProof w:val="0"/>
          <w:rtl/>
        </w:rPr>
        <w:t>א.</w:t>
      </w:r>
      <w:r>
        <w:rPr>
          <w:rFonts w:ascii="Arial" w:hAnsi="Arial"/>
          <w:b/>
          <w:bCs/>
          <w:noProof w:val="0"/>
          <w:rtl/>
        </w:rPr>
        <w:tab/>
        <w:t>רקע עובדתי</w:t>
      </w:r>
    </w:p>
    <w:p w:rsidR="00A2429A" w:rsidRDefault="00A2429A" w:rsidP="00A2429A">
      <w:pPr>
        <w:spacing w:line="360" w:lineRule="auto"/>
        <w:jc w:val="both"/>
        <w:rPr>
          <w:rFonts w:ascii="Arial" w:hAnsi="Arial"/>
          <w:b/>
          <w:bCs/>
          <w:noProof w:val="0"/>
          <w:rtl/>
        </w:rPr>
      </w:pPr>
    </w:p>
    <w:p w:rsidR="00A2429A" w:rsidRDefault="00A2429A" w:rsidP="00CD0565">
      <w:pPr>
        <w:spacing w:line="360" w:lineRule="auto"/>
        <w:ind w:left="720" w:hanging="720"/>
        <w:jc w:val="both"/>
        <w:rPr>
          <w:rFonts w:ascii="Arial" w:hAnsi="Arial"/>
          <w:noProof w:val="0"/>
          <w:rtl/>
        </w:rPr>
      </w:pPr>
      <w:r>
        <w:rPr>
          <w:rFonts w:ascii="Arial" w:hAnsi="Arial"/>
          <w:noProof w:val="0"/>
          <w:rtl/>
        </w:rPr>
        <w:t>1.</w:t>
      </w:r>
      <w:r>
        <w:rPr>
          <w:rFonts w:ascii="Arial" w:hAnsi="Arial"/>
          <w:noProof w:val="0"/>
          <w:rtl/>
        </w:rPr>
        <w:tab/>
        <w:t>המבקש והמשיבה 1 הם אחים והמשיב 2 הוא בעלה של המשיבה. בין הצדדים מ</w:t>
      </w:r>
      <w:r w:rsidR="00171A84">
        <w:rPr>
          <w:rFonts w:ascii="Arial" w:hAnsi="Arial" w:hint="cs"/>
          <w:noProof w:val="0"/>
          <w:rtl/>
        </w:rPr>
        <w:t>ת</w:t>
      </w:r>
      <w:r>
        <w:rPr>
          <w:rFonts w:ascii="Arial" w:hAnsi="Arial"/>
          <w:noProof w:val="0"/>
          <w:rtl/>
        </w:rPr>
        <w:t>נהלים מספר הליכים. ביום 31.10.22 הגיש המבקש לבית המשפט לענייני משפחה תביעה כספית על סך</w:t>
      </w:r>
      <w:r w:rsidR="00CD0565">
        <w:rPr>
          <w:rFonts w:ascii="Arial" w:hAnsi="Arial" w:hint="cs"/>
          <w:noProof w:val="0"/>
          <w:rtl/>
        </w:rPr>
        <w:t xml:space="preserve"> חמישה</w:t>
      </w:r>
      <w:r>
        <w:rPr>
          <w:rFonts w:ascii="Arial" w:hAnsi="Arial"/>
          <w:noProof w:val="0"/>
          <w:rtl/>
        </w:rPr>
        <w:t xml:space="preserve"> מיליון ₪ כנגד המשיבים. </w:t>
      </w:r>
    </w:p>
    <w:p w:rsidR="00A2429A" w:rsidRDefault="00A2429A" w:rsidP="00A2429A">
      <w:pPr>
        <w:spacing w:line="360" w:lineRule="auto"/>
        <w:ind w:left="720" w:hanging="720"/>
        <w:jc w:val="both"/>
        <w:rPr>
          <w:rFonts w:ascii="Arial" w:hAnsi="Arial"/>
          <w:noProof w:val="0"/>
          <w:rtl/>
        </w:rPr>
      </w:pPr>
    </w:p>
    <w:p w:rsidR="00A2429A" w:rsidRDefault="00A2429A" w:rsidP="007820CF">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 xml:space="preserve">בד בבד עם הגשת התביעה, הגיש המבקש בקשה לפטור מתשלום אגרה במסגרתה הוא טען שמצבו הכלכלי אינו מאפשר לו לשאת בתשלום האגרה. כב' רשמת ביהמ"ש לענייני משפחה העבירה את הבקשה לתגובת המשיבים והמדינה. </w:t>
      </w:r>
    </w:p>
    <w:p w:rsidR="00A2429A" w:rsidRDefault="00A2429A" w:rsidP="00A2429A">
      <w:pPr>
        <w:spacing w:line="360" w:lineRule="auto"/>
        <w:ind w:left="720" w:hanging="720"/>
        <w:jc w:val="both"/>
        <w:rPr>
          <w:rFonts w:ascii="Arial" w:hAnsi="Arial"/>
          <w:noProof w:val="0"/>
          <w:rtl/>
        </w:rPr>
      </w:pPr>
    </w:p>
    <w:p w:rsidR="00A2429A" w:rsidRDefault="00A2429A" w:rsidP="007820CF">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ביום 17.11.22, לאחר קבלת תגובות המשיבים והמדינה, דחתה כב' הרשמת גלי רון את הבקשה לפטור מאגרה וקבעה שתשלום האגרה יבוצע ב-5 תשלומים חודשיים שווים ורציפים.  </w:t>
      </w:r>
    </w:p>
    <w:p w:rsidR="00A2429A" w:rsidRDefault="00A2429A" w:rsidP="00A2429A">
      <w:pPr>
        <w:spacing w:line="360" w:lineRule="auto"/>
        <w:jc w:val="both"/>
        <w:rPr>
          <w:rFonts w:ascii="Arial" w:hAnsi="Arial"/>
          <w:noProof w:val="0"/>
        </w:rPr>
      </w:pPr>
    </w:p>
    <w:p w:rsidR="00A2429A" w:rsidRDefault="00A2429A" w:rsidP="007820CF">
      <w:pPr>
        <w:spacing w:line="360" w:lineRule="auto"/>
        <w:ind w:left="720" w:hanging="720"/>
        <w:jc w:val="both"/>
        <w:rPr>
          <w:rFonts w:ascii="Arial" w:hAnsi="Arial"/>
          <w:noProof w:val="0"/>
          <w:rtl/>
        </w:rPr>
      </w:pPr>
      <w:r>
        <w:rPr>
          <w:rFonts w:ascii="Arial" w:hAnsi="Arial"/>
          <w:noProof w:val="0"/>
          <w:rtl/>
        </w:rPr>
        <w:t>4.</w:t>
      </w:r>
      <w:r>
        <w:rPr>
          <w:rFonts w:ascii="Arial" w:hAnsi="Arial"/>
          <w:noProof w:val="0"/>
          <w:rtl/>
        </w:rPr>
        <w:tab/>
        <w:t>ביום 9.12.22 הגיש המבקש בקשה לעיון מחדש בהחלטה על תשלום האגרה. ביום 25.12.22  דחתה כב' הרשמת את הבקשה לעיון מחדש.</w:t>
      </w:r>
    </w:p>
    <w:p w:rsidR="00A2429A" w:rsidRDefault="00A2429A" w:rsidP="00A2429A">
      <w:pPr>
        <w:spacing w:line="360" w:lineRule="auto"/>
        <w:jc w:val="both"/>
        <w:rPr>
          <w:rFonts w:ascii="Arial" w:hAnsi="Arial"/>
          <w:noProof w:val="0"/>
          <w:rtl/>
        </w:rPr>
      </w:pPr>
    </w:p>
    <w:p w:rsidR="00A2429A" w:rsidRDefault="00A2429A" w:rsidP="007820CF">
      <w:pPr>
        <w:spacing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ביום 9.1.23 הגיש המבקש לבית המשפט קמא ערעור על ההחלטה בבקשה לעיון מחדש. </w:t>
      </w:r>
    </w:p>
    <w:p w:rsidR="00A2429A" w:rsidRDefault="00A2429A" w:rsidP="00A2429A">
      <w:pPr>
        <w:spacing w:line="360" w:lineRule="auto"/>
        <w:jc w:val="both"/>
        <w:rPr>
          <w:rFonts w:ascii="Arial" w:hAnsi="Arial"/>
          <w:noProof w:val="0"/>
          <w:rtl/>
        </w:rPr>
      </w:pPr>
    </w:p>
    <w:p w:rsidR="00A2429A" w:rsidRDefault="00A2429A" w:rsidP="007820CF">
      <w:pPr>
        <w:spacing w:line="360" w:lineRule="auto"/>
        <w:ind w:left="720" w:hanging="720"/>
        <w:jc w:val="both"/>
        <w:rPr>
          <w:rFonts w:ascii="Arial" w:hAnsi="Arial"/>
          <w:noProof w:val="0"/>
          <w:rtl/>
        </w:rPr>
      </w:pPr>
      <w:r>
        <w:rPr>
          <w:rFonts w:ascii="Arial" w:hAnsi="Arial"/>
          <w:noProof w:val="0"/>
          <w:rtl/>
        </w:rPr>
        <w:t>6.</w:t>
      </w:r>
      <w:r>
        <w:rPr>
          <w:rFonts w:ascii="Arial" w:hAnsi="Arial"/>
          <w:noProof w:val="0"/>
          <w:rtl/>
        </w:rPr>
        <w:tab/>
        <w:t xml:space="preserve">ביום 15.1.23 ניתנה החלטת ביהמ"ש קמא על הפקדת עירבון לערעור </w:t>
      </w:r>
      <w:r w:rsidR="007820CF">
        <w:rPr>
          <w:rFonts w:ascii="Arial" w:hAnsi="Arial" w:hint="cs"/>
          <w:noProof w:val="0"/>
          <w:rtl/>
        </w:rPr>
        <w:t xml:space="preserve">הנ"ל </w:t>
      </w:r>
      <w:r>
        <w:rPr>
          <w:rFonts w:ascii="Arial" w:hAnsi="Arial"/>
          <w:noProof w:val="0"/>
          <w:rtl/>
        </w:rPr>
        <w:t>ולפיה: "</w:t>
      </w:r>
      <w:r>
        <w:rPr>
          <w:rFonts w:ascii="Arial" w:hAnsi="Arial"/>
          <w:b/>
          <w:bCs/>
          <w:noProof w:val="0"/>
          <w:rtl/>
        </w:rPr>
        <w:t>עתה משהונח לפני, יערוב המערער ערערו בסך של 3,000 ₪ בתוך 7 ימים שאם לא כן תמחק הודעת הערעור..."</w:t>
      </w:r>
      <w:r>
        <w:rPr>
          <w:rFonts w:ascii="Arial" w:hAnsi="Arial"/>
          <w:noProof w:val="0"/>
          <w:rtl/>
        </w:rPr>
        <w:t>.</w:t>
      </w:r>
    </w:p>
    <w:p w:rsidR="00A2429A" w:rsidRDefault="00A2429A" w:rsidP="00A2429A">
      <w:pPr>
        <w:spacing w:line="360" w:lineRule="auto"/>
        <w:jc w:val="both"/>
        <w:rPr>
          <w:rFonts w:ascii="Arial" w:hAnsi="Arial"/>
          <w:noProof w:val="0"/>
          <w:rtl/>
        </w:rPr>
      </w:pPr>
    </w:p>
    <w:p w:rsidR="00A2429A" w:rsidRDefault="00A2429A" w:rsidP="007820CF">
      <w:pPr>
        <w:spacing w:line="360" w:lineRule="auto"/>
        <w:ind w:left="720" w:hanging="720"/>
        <w:jc w:val="both"/>
        <w:rPr>
          <w:rFonts w:ascii="Arial" w:hAnsi="Arial"/>
          <w:noProof w:val="0"/>
          <w:rtl/>
        </w:rPr>
      </w:pPr>
      <w:r>
        <w:rPr>
          <w:rFonts w:ascii="Arial" w:hAnsi="Arial"/>
          <w:noProof w:val="0"/>
          <w:rtl/>
        </w:rPr>
        <w:t>7.</w:t>
      </w:r>
      <w:r>
        <w:rPr>
          <w:rFonts w:ascii="Arial" w:hAnsi="Arial"/>
          <w:noProof w:val="0"/>
          <w:rtl/>
        </w:rPr>
        <w:tab/>
        <w:t xml:space="preserve">ביום 25.1.23 הגיש המבקש בקשה לביטול ההחלטה על הפקדת הערובה. לאחר קבלת תגובת המשיבים ותשובת המבקש לתגובה, ניתנה ביום 6.3.23 החלטת בית המשפט קמא הדוחה את הבקשה לפטור מהפקדת ערובה וקובעת </w:t>
      </w:r>
      <w:r w:rsidR="00616D37">
        <w:rPr>
          <w:rFonts w:ascii="Arial" w:hAnsi="Arial" w:hint="cs"/>
          <w:noProof w:val="0"/>
          <w:rtl/>
        </w:rPr>
        <w:t>ש</w:t>
      </w:r>
      <w:r>
        <w:rPr>
          <w:rFonts w:ascii="Arial" w:hAnsi="Arial"/>
          <w:noProof w:val="0"/>
          <w:rtl/>
        </w:rPr>
        <w:t xml:space="preserve">ככל שלא תופקד הערובה בתוך 7 ימים הערעור ימחק (להלן: </w:t>
      </w:r>
      <w:r>
        <w:rPr>
          <w:rFonts w:ascii="Arial" w:hAnsi="Arial"/>
          <w:b/>
          <w:bCs/>
          <w:noProof w:val="0"/>
          <w:rtl/>
        </w:rPr>
        <w:t>ההחלטה</w:t>
      </w:r>
      <w:r>
        <w:rPr>
          <w:rFonts w:ascii="Arial" w:hAnsi="Arial"/>
          <w:noProof w:val="0"/>
          <w:rtl/>
        </w:rPr>
        <w:t xml:space="preserve">). </w:t>
      </w:r>
    </w:p>
    <w:p w:rsidR="00A2429A" w:rsidRDefault="00A2429A" w:rsidP="00A2429A">
      <w:pPr>
        <w:spacing w:line="360" w:lineRule="auto"/>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8.</w:t>
      </w:r>
      <w:r>
        <w:rPr>
          <w:rFonts w:ascii="Arial" w:hAnsi="Arial"/>
          <w:noProof w:val="0"/>
          <w:rtl/>
        </w:rPr>
        <w:tab/>
        <w:t xml:space="preserve">המבקש לא השלים עם ההחלטה והגיש את הבקשה למתן רשות ערעור שלפני. </w:t>
      </w:r>
    </w:p>
    <w:p w:rsidR="00A2429A" w:rsidRDefault="00A2429A" w:rsidP="00A2429A">
      <w:pPr>
        <w:spacing w:line="360" w:lineRule="auto"/>
        <w:jc w:val="both"/>
        <w:rPr>
          <w:rFonts w:ascii="Arial" w:hAnsi="Arial"/>
          <w:noProof w:val="0"/>
          <w:rtl/>
        </w:rPr>
      </w:pPr>
    </w:p>
    <w:p w:rsidR="00A2429A" w:rsidRDefault="00A2429A" w:rsidP="00A2429A">
      <w:pPr>
        <w:spacing w:line="360" w:lineRule="auto"/>
        <w:jc w:val="both"/>
        <w:rPr>
          <w:rFonts w:ascii="Arial" w:hAnsi="Arial"/>
          <w:b/>
          <w:bCs/>
          <w:noProof w:val="0"/>
          <w:rtl/>
        </w:rPr>
      </w:pPr>
      <w:r>
        <w:rPr>
          <w:rFonts w:ascii="Arial" w:hAnsi="Arial"/>
          <w:b/>
          <w:bCs/>
          <w:noProof w:val="0"/>
          <w:rtl/>
        </w:rPr>
        <w:t>ב.</w:t>
      </w:r>
      <w:r>
        <w:rPr>
          <w:rFonts w:ascii="Arial" w:hAnsi="Arial"/>
          <w:b/>
          <w:bCs/>
          <w:noProof w:val="0"/>
          <w:rtl/>
        </w:rPr>
        <w:tab/>
        <w:t>תמצית ההחלטה</w:t>
      </w:r>
    </w:p>
    <w:p w:rsidR="00A2429A" w:rsidRDefault="00A2429A" w:rsidP="00A2429A">
      <w:pPr>
        <w:spacing w:line="360" w:lineRule="auto"/>
        <w:jc w:val="both"/>
        <w:rPr>
          <w:rFonts w:ascii="Arial" w:hAnsi="Arial"/>
          <w:b/>
          <w:bCs/>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1.</w:t>
      </w:r>
      <w:r>
        <w:rPr>
          <w:rFonts w:ascii="Arial" w:hAnsi="Arial"/>
          <w:noProof w:val="0"/>
          <w:rtl/>
        </w:rPr>
        <w:tab/>
        <w:t xml:space="preserve">שני הצדדים חטאו בפגמים פרוצדוראליים מהותיים בהגישם כתבי טענות שלא נתמכו בתצהיר ערוך כדין, אולם גם לגופה דין הבקשה להידחות. </w:t>
      </w:r>
    </w:p>
    <w:p w:rsidR="00A2429A" w:rsidRDefault="00A2429A" w:rsidP="00A2429A">
      <w:pPr>
        <w:spacing w:line="360" w:lineRule="auto"/>
        <w:ind w:left="720" w:hanging="720"/>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החלטה זו עניינה בדחיית בקשת המבקש לעיון חוזר בהחלטה מיום 17.11.22 ואין הערעור עוסק בטעויות לכאוריות שנפלו בהחלטה מיום 17.11.22 אלא רק בהחלטה בבקשה לעיון מחדש. "</w:t>
      </w:r>
      <w:r>
        <w:rPr>
          <w:rFonts w:ascii="Arial" w:hAnsi="Arial"/>
          <w:b/>
          <w:bCs/>
          <w:noProof w:val="0"/>
          <w:rtl/>
        </w:rPr>
        <w:t>ההלכה לעניין זה קובעת כי אין מתדיין יכול להאריך באופן מלאכותי את המועד להגשת ערעור על החלטה באמצעות הגשת בקשה לעיון חוזר</w:t>
      </w:r>
      <w:r>
        <w:rPr>
          <w:rFonts w:ascii="Arial" w:hAnsi="Arial"/>
          <w:noProof w:val="0"/>
          <w:rtl/>
        </w:rPr>
        <w:t>".</w:t>
      </w:r>
    </w:p>
    <w:p w:rsidR="00A2429A" w:rsidRDefault="00A2429A" w:rsidP="00A2429A">
      <w:pPr>
        <w:spacing w:line="360" w:lineRule="auto"/>
        <w:ind w:left="720" w:hanging="720"/>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המבקש שגה בכך שלא הבחין בין פטור מאגרה והשיקולים שנדרש ביהמ"ש לשקול בהקשר זה, לבין השיקולים בבקשה לפטור מהפקדת עירבון. הפקדת עירבון לא נועדה לפתיחת שערי ערכאת הערעור בפני המערער אלא להבטחת הוצאות המשיבים המוטרדים בדיון נוסף בפני ערכאת הערעור, כך שאם הערעור יידחה, לא יצאו נפסדים בשל חוסר יכולתם לגבות את ההוצאות שייפסקו לטובתם, ככל שייפסקו. </w:t>
      </w:r>
    </w:p>
    <w:p w:rsidR="00A2429A" w:rsidRDefault="00A2429A" w:rsidP="00A2429A">
      <w:pPr>
        <w:spacing w:line="360" w:lineRule="auto"/>
        <w:ind w:left="720" w:hanging="720"/>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4.</w:t>
      </w:r>
      <w:r>
        <w:rPr>
          <w:rFonts w:ascii="Arial" w:hAnsi="Arial"/>
          <w:noProof w:val="0"/>
          <w:rtl/>
        </w:rPr>
        <w:tab/>
        <w:t xml:space="preserve">בבקשה לפטור מהפקדת עירבון יש לתת משקל דווקא לסיכויי ההליך המשפטי הנדון, כך שיש להצביע על סיכוי בעל ממשות גדולה יותר בכדי להצדיק את הפטור. </w:t>
      </w:r>
    </w:p>
    <w:p w:rsidR="00A2429A" w:rsidRDefault="00A2429A" w:rsidP="00A2429A">
      <w:pPr>
        <w:spacing w:line="360" w:lineRule="auto"/>
        <w:ind w:left="720" w:hanging="720"/>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תקנה 135 </w:t>
      </w:r>
      <w:r w:rsidRPr="00CD0565">
        <w:rPr>
          <w:rFonts w:ascii="Arial" w:hAnsi="Arial"/>
          <w:b/>
          <w:bCs/>
          <w:noProof w:val="0"/>
          <w:rtl/>
        </w:rPr>
        <w:t>לתקנות סדר הדין האזרחי</w:t>
      </w:r>
      <w:r>
        <w:rPr>
          <w:rFonts w:ascii="Arial" w:hAnsi="Arial"/>
          <w:noProof w:val="0"/>
          <w:rtl/>
        </w:rPr>
        <w:t xml:space="preserve">, תשע"ט-2018 (להלן: </w:t>
      </w:r>
      <w:r>
        <w:rPr>
          <w:rFonts w:ascii="Arial" w:hAnsi="Arial"/>
          <w:b/>
          <w:bCs/>
          <w:noProof w:val="0"/>
          <w:rtl/>
        </w:rPr>
        <w:t>התקנות</w:t>
      </w:r>
      <w:r>
        <w:rPr>
          <w:rFonts w:ascii="Arial" w:hAnsi="Arial"/>
          <w:noProof w:val="0"/>
          <w:rtl/>
        </w:rPr>
        <w:t>) קובעת את החיוב בהפקדת ערובה להבטחת הוצאות המשיבים בהגשת הערעור. התקנה מפנה לתוספת השלישית שבה נקבע גובה הערובה שיש להפקיד. "</w:t>
      </w:r>
      <w:r>
        <w:rPr>
          <w:rFonts w:ascii="Arial" w:hAnsi="Arial"/>
          <w:b/>
          <w:bCs/>
          <w:noProof w:val="0"/>
          <w:rtl/>
        </w:rPr>
        <w:t xml:space="preserve">אמנם בצד ההוראה המתייחסת לערעור </w:t>
      </w:r>
      <w:r>
        <w:rPr>
          <w:rFonts w:ascii="Arial" w:hAnsi="Arial"/>
          <w:b/>
          <w:bCs/>
          <w:noProof w:val="0"/>
          <w:rtl/>
        </w:rPr>
        <w:lastRenderedPageBreak/>
        <w:t>על החלטת רשם שאינו רשם בכיר מצוין פטור מהפקדת ערובה ועם זאת לבית המשפט הסמכות ושיקול הדעת לסטות מהאמור וזאת בהתאם להוראת תקנה 135(ב) לתקסד"א</w:t>
      </w:r>
      <w:r>
        <w:rPr>
          <w:rFonts w:ascii="Arial" w:hAnsi="Arial"/>
          <w:noProof w:val="0"/>
          <w:rtl/>
        </w:rPr>
        <w:t>".</w:t>
      </w:r>
    </w:p>
    <w:p w:rsidR="00A2429A" w:rsidRDefault="00A2429A" w:rsidP="00A2429A">
      <w:pPr>
        <w:spacing w:line="360" w:lineRule="auto"/>
        <w:ind w:left="720" w:hanging="720"/>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6.</w:t>
      </w:r>
      <w:r>
        <w:rPr>
          <w:rFonts w:ascii="Arial" w:hAnsi="Arial"/>
          <w:noProof w:val="0"/>
          <w:rtl/>
        </w:rPr>
        <w:tab/>
        <w:t xml:space="preserve">תקנה 135(ב) לתקנות קובעת שביהמ"ש רשאי להורות על שינוי סכומה של הערובה ומכוחה הוא אף רשאי להגדיל את סכומה ואף לסטות מההוראה המעניקה פטור ולהורות על הפקדה בנסיבות מתאימות. </w:t>
      </w:r>
    </w:p>
    <w:p w:rsidR="00A2429A" w:rsidRDefault="00A2429A" w:rsidP="00A2429A">
      <w:pPr>
        <w:spacing w:line="360" w:lineRule="auto"/>
        <w:ind w:left="720" w:hanging="720"/>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7.</w:t>
      </w:r>
      <w:r>
        <w:rPr>
          <w:rFonts w:ascii="Arial" w:hAnsi="Arial"/>
          <w:noProof w:val="0"/>
          <w:rtl/>
        </w:rPr>
        <w:tab/>
        <w:t>"</w:t>
      </w:r>
      <w:r>
        <w:rPr>
          <w:rFonts w:ascii="Arial" w:hAnsi="Arial"/>
          <w:b/>
          <w:bCs/>
          <w:noProof w:val="0"/>
          <w:rtl/>
        </w:rPr>
        <w:t>נוכח מהות ההחלטה עליה הוגש ערעור ובחינת סיכויי קבלתה, מצאתי כי יש להעמיד ערובה בשיעור שנקבע בהחלטתי. לא מצאתי בבקשה שלפני כל טעם לפיו אין בידי המבקש היכולת הכלכלית להפקיד את סכום הערובה שנקבעה שכן שיעורה אינו דומה לזה שמבקש המערער לפטור אותו במסגרת בקשה לפטור מאגרה</w:t>
      </w:r>
      <w:r>
        <w:rPr>
          <w:rFonts w:ascii="Arial" w:hAnsi="Arial"/>
          <w:noProof w:val="0"/>
          <w:rtl/>
        </w:rPr>
        <w:t>".</w:t>
      </w:r>
    </w:p>
    <w:p w:rsidR="00A2429A" w:rsidRDefault="00A2429A" w:rsidP="00A2429A">
      <w:pPr>
        <w:spacing w:line="360" w:lineRule="auto"/>
        <w:ind w:left="720" w:hanging="720"/>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8.</w:t>
      </w:r>
      <w:r>
        <w:rPr>
          <w:rFonts w:ascii="Arial" w:hAnsi="Arial"/>
          <w:noProof w:val="0"/>
          <w:rtl/>
        </w:rPr>
        <w:tab/>
        <w:t xml:space="preserve">ככל שהמערער לא יפקיד את סכום הערובה בתוך 7 ימים, הערעור יימחק.         </w:t>
      </w:r>
    </w:p>
    <w:p w:rsidR="00A2429A" w:rsidRDefault="00A2429A" w:rsidP="00A2429A">
      <w:pPr>
        <w:spacing w:line="360" w:lineRule="auto"/>
        <w:jc w:val="both"/>
        <w:rPr>
          <w:rFonts w:ascii="Arial" w:hAnsi="Arial"/>
          <w:b/>
          <w:bCs/>
          <w:noProof w:val="0"/>
          <w:rtl/>
        </w:rPr>
      </w:pPr>
    </w:p>
    <w:p w:rsidR="00A2429A" w:rsidRDefault="00A2429A" w:rsidP="00A2429A">
      <w:pPr>
        <w:spacing w:line="360" w:lineRule="auto"/>
        <w:jc w:val="both"/>
        <w:rPr>
          <w:rFonts w:ascii="Arial" w:hAnsi="Arial"/>
          <w:b/>
          <w:bCs/>
          <w:noProof w:val="0"/>
          <w:rtl/>
        </w:rPr>
      </w:pPr>
      <w:r>
        <w:rPr>
          <w:rFonts w:ascii="Arial" w:hAnsi="Arial"/>
          <w:b/>
          <w:bCs/>
          <w:noProof w:val="0"/>
          <w:rtl/>
        </w:rPr>
        <w:t>ג.</w:t>
      </w:r>
      <w:r>
        <w:rPr>
          <w:rFonts w:ascii="Arial" w:hAnsi="Arial"/>
          <w:b/>
          <w:bCs/>
          <w:noProof w:val="0"/>
          <w:rtl/>
        </w:rPr>
        <w:tab/>
        <w:t>תמצית טענות המבקש</w:t>
      </w:r>
    </w:p>
    <w:p w:rsidR="00A2429A" w:rsidRDefault="00A2429A" w:rsidP="00A2429A">
      <w:pPr>
        <w:spacing w:line="360" w:lineRule="auto"/>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1.</w:t>
      </w:r>
      <w:r>
        <w:rPr>
          <w:rFonts w:ascii="Arial" w:hAnsi="Arial"/>
          <w:noProof w:val="0"/>
          <w:rtl/>
        </w:rPr>
        <w:tab/>
        <w:t xml:space="preserve">שגה ביהמ"ש קמא כשלא קיבל את הבקשה לביטול ההחלטה על הפקדת העירבון. </w:t>
      </w:r>
    </w:p>
    <w:p w:rsidR="00A2429A" w:rsidRDefault="00A2429A" w:rsidP="00A2429A">
      <w:pPr>
        <w:spacing w:line="360" w:lineRule="auto"/>
        <w:ind w:left="720" w:hanging="720"/>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 xml:space="preserve">לא היה מקום לחייב את המבקש בהפקדת עירבון. מדובר בערעור בזכות על החלטת רשמת שלא לפטור מתשלום אגרה, כאשר הגשת הערעור בעניין זה פטורה מאגרה. הפטור מאגרה  נובע מההכרה בחוסר יכולתו של המבקש לשלם אגרה ומוענקת למערער הזדמנות נוספת ובזכות, להביא את עניינו בפני שופט.  </w:t>
      </w:r>
    </w:p>
    <w:p w:rsidR="00A2429A" w:rsidRDefault="00A2429A" w:rsidP="00A2429A">
      <w:pPr>
        <w:spacing w:line="360" w:lineRule="auto"/>
        <w:ind w:left="720" w:hanging="720"/>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הדרישה להפקדת עירבון לצורך הגשת ערעור בנסיבות אלה, חוסמת את דרכו של המערער מראש למצות את זכותו לדון בבקשתו לפטור מאגרה וזאת, כאשר הדין מכיר בזכות זו ללא  צורך בתשלום אגרה. </w:t>
      </w:r>
    </w:p>
    <w:p w:rsidR="00A2429A" w:rsidRDefault="00A2429A" w:rsidP="00A2429A">
      <w:pPr>
        <w:spacing w:line="360" w:lineRule="auto"/>
        <w:ind w:left="720" w:hanging="720"/>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4.</w:t>
      </w:r>
      <w:r>
        <w:rPr>
          <w:rFonts w:ascii="Arial" w:hAnsi="Arial"/>
          <w:noProof w:val="0"/>
          <w:rtl/>
        </w:rPr>
        <w:tab/>
        <w:t xml:space="preserve">כאשר מדובר בערעור על החלטה שעניינה תשלום אגרה לצורך פתיחת הליכים בענייני משפחה, להבדיל מערעור על תוצאות הליך שהתקיים והוכרע, הצבת מחסום של הפקדת עירבון ימנע מהמערער מראש את הזכות לערער ויסגור בפניו מראש את שערי בית המשפט. הדבר פוגע בזכות הגישה שלו לערכאות ואף הופך את זכות הערעור "לאות מתה". </w:t>
      </w:r>
    </w:p>
    <w:p w:rsidR="00A2429A" w:rsidRDefault="00A2429A" w:rsidP="00A2429A">
      <w:pPr>
        <w:spacing w:line="360" w:lineRule="auto"/>
        <w:ind w:left="720" w:hanging="720"/>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המבקש עומד בשני המבחנים שקבעה הפסיקה למתן פטור מהפקדת עירבון בערעור והם: קיומו של סיכוי ולו בדוחק לזכות בערעור והוכחת חוסר יכולתו של המערער. מקל וחומר, יש לקבל את הבקשה במקרה זה שבו מדובר בערעור על החלטה הדוחה בקשה לפטור </w:t>
      </w:r>
      <w:r>
        <w:rPr>
          <w:rFonts w:ascii="Arial" w:hAnsi="Arial"/>
          <w:noProof w:val="0"/>
          <w:rtl/>
        </w:rPr>
        <w:lastRenderedPageBreak/>
        <w:t xml:space="preserve">מאגרה  (להבדיל מפסק דין) המוגש לאותה ערכאה שנתנה את ההחלטה (להבדיל מערכאה גבוהה יותר).       </w:t>
      </w:r>
    </w:p>
    <w:p w:rsidR="00A2429A" w:rsidRDefault="00A2429A" w:rsidP="00A2429A">
      <w:pPr>
        <w:spacing w:line="360" w:lineRule="auto"/>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6.</w:t>
      </w:r>
      <w:r>
        <w:rPr>
          <w:rFonts w:ascii="Arial" w:hAnsi="Arial"/>
          <w:noProof w:val="0"/>
          <w:rtl/>
        </w:rPr>
        <w:tab/>
        <w:t xml:space="preserve">שגה ביהמ"ש קמא בכך שלא הפעיל את שיקול הדעת המסור לו בהתאם לתקנה 135(ב) לתקנות "ופטר את עצמו באמירה סתמית, חסרת כל בסיס, ללא שום נימוק, ובהתעלם מכל הראיות שהונחו בפניו שלא לומר ללא שום בחינה שלהם וקבע 'כי לא מצא כי אין בידי המבקש את היכולת הכלכלית להעמיד את סכום הערובה'". </w:t>
      </w:r>
    </w:p>
    <w:p w:rsidR="00A2429A" w:rsidRDefault="00A2429A" w:rsidP="00A2429A">
      <w:pPr>
        <w:spacing w:line="360" w:lineRule="auto"/>
        <w:ind w:left="720" w:hanging="720"/>
        <w:jc w:val="both"/>
        <w:rPr>
          <w:rFonts w:ascii="Arial" w:hAnsi="Arial"/>
          <w:noProof w:val="0"/>
          <w:rtl/>
        </w:rPr>
      </w:pPr>
      <w:r>
        <w:rPr>
          <w:rFonts w:ascii="Arial" w:hAnsi="Arial"/>
          <w:noProof w:val="0"/>
          <w:rtl/>
        </w:rPr>
        <w:t xml:space="preserve"> </w:t>
      </w:r>
    </w:p>
    <w:p w:rsidR="00A2429A" w:rsidRDefault="00A2429A" w:rsidP="00A2429A">
      <w:pPr>
        <w:spacing w:line="360" w:lineRule="auto"/>
        <w:jc w:val="both"/>
        <w:rPr>
          <w:rFonts w:ascii="Arial" w:hAnsi="Arial"/>
          <w:b/>
          <w:bCs/>
          <w:noProof w:val="0"/>
          <w:rtl/>
        </w:rPr>
      </w:pPr>
      <w:r>
        <w:rPr>
          <w:rFonts w:ascii="Arial" w:hAnsi="Arial"/>
          <w:b/>
          <w:bCs/>
          <w:noProof w:val="0"/>
          <w:rtl/>
        </w:rPr>
        <w:t>ד.</w:t>
      </w:r>
      <w:r>
        <w:rPr>
          <w:rFonts w:ascii="Arial" w:hAnsi="Arial"/>
          <w:b/>
          <w:bCs/>
          <w:noProof w:val="0"/>
          <w:rtl/>
        </w:rPr>
        <w:tab/>
        <w:t>תמצית טענות המשיבים</w:t>
      </w:r>
    </w:p>
    <w:p w:rsidR="00A2429A" w:rsidRDefault="00A2429A" w:rsidP="00A2429A">
      <w:pPr>
        <w:spacing w:line="360" w:lineRule="auto"/>
        <w:jc w:val="both"/>
        <w:rPr>
          <w:rFonts w:ascii="Arial" w:hAnsi="Arial"/>
          <w:b/>
          <w:bCs/>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1.</w:t>
      </w:r>
      <w:r>
        <w:rPr>
          <w:rFonts w:ascii="Arial" w:hAnsi="Arial"/>
          <w:noProof w:val="0"/>
          <w:rtl/>
        </w:rPr>
        <w:tab/>
        <w:t>תקנה 135(ב) לתקנות מסמיכה את בית המשפט לשנות, על פי שיקול דעתו, את סכום הערובה ומכאן שבסמכותו אף להגדילה.</w:t>
      </w:r>
    </w:p>
    <w:p w:rsidR="00A2429A" w:rsidRDefault="00A2429A" w:rsidP="00A2429A">
      <w:pPr>
        <w:spacing w:line="360" w:lineRule="auto"/>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סכום הערובה בסך של 3,000 ₪ הוא בשיעור נמוך ולא ה</w:t>
      </w:r>
      <w:r w:rsidR="00171A84">
        <w:rPr>
          <w:rFonts w:ascii="Arial" w:hAnsi="Arial"/>
          <w:noProof w:val="0"/>
          <w:rtl/>
        </w:rPr>
        <w:t xml:space="preserve">וכח בפני ביהמ"ש קמא שאין למבקש </w:t>
      </w:r>
      <w:r>
        <w:rPr>
          <w:rFonts w:ascii="Arial" w:hAnsi="Arial"/>
          <w:noProof w:val="0"/>
          <w:rtl/>
        </w:rPr>
        <w:t>את היכולת הכלכלית להפקיד את העירבון. המבקש אף מיוצג ע</w:t>
      </w:r>
      <w:r w:rsidR="00E03BD1">
        <w:rPr>
          <w:rFonts w:ascii="Arial" w:hAnsi="Arial" w:hint="cs"/>
          <w:noProof w:val="0"/>
          <w:rtl/>
        </w:rPr>
        <w:t>"</w:t>
      </w:r>
      <w:r>
        <w:rPr>
          <w:rFonts w:ascii="Arial" w:hAnsi="Arial"/>
          <w:noProof w:val="0"/>
          <w:rtl/>
        </w:rPr>
        <w:t>י עורך דין פרטי.</w:t>
      </w:r>
    </w:p>
    <w:p w:rsidR="00A2429A" w:rsidRDefault="00A2429A" w:rsidP="00A2429A">
      <w:pPr>
        <w:pStyle w:val="ad"/>
        <w:rPr>
          <w:rFonts w:ascii="Arial" w:hAnsi="Arial"/>
          <w:noProof w:val="0"/>
        </w:rPr>
      </w:pPr>
    </w:p>
    <w:p w:rsidR="00A2429A" w:rsidRDefault="00171A84" w:rsidP="00A2429A">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בטיוטת תקנות סד</w:t>
      </w:r>
      <w:r>
        <w:rPr>
          <w:rFonts w:ascii="Arial" w:hAnsi="Arial" w:hint="cs"/>
          <w:noProof w:val="0"/>
          <w:rtl/>
        </w:rPr>
        <w:t>ר</w:t>
      </w:r>
      <w:r w:rsidR="00A2429A">
        <w:rPr>
          <w:rFonts w:ascii="Arial" w:hAnsi="Arial"/>
          <w:noProof w:val="0"/>
          <w:rtl/>
        </w:rPr>
        <w:t xml:space="preserve"> הדין האזרחי (תיקון) תשפ"ב – 2022 מוצע בין היתר לתקן את תקנה 135(ב) כך שייקבע שבית המשפט מוסמך להורות על הפקדת ערובה "גם אם לא נקבעה ערובה כאמור בנוגע לאותו הליך בתוספת השלישית".</w:t>
      </w:r>
    </w:p>
    <w:p w:rsidR="00A2429A" w:rsidRDefault="00A2429A" w:rsidP="00A2429A">
      <w:pPr>
        <w:pStyle w:val="ad"/>
        <w:rPr>
          <w:rFonts w:ascii="Arial" w:hAnsi="Arial"/>
          <w:noProof w:val="0"/>
        </w:rPr>
      </w:pPr>
    </w:p>
    <w:p w:rsidR="00A2429A" w:rsidRDefault="00A2429A" w:rsidP="00A2429A">
      <w:pPr>
        <w:spacing w:line="360" w:lineRule="auto"/>
        <w:ind w:left="720" w:hanging="720"/>
        <w:jc w:val="both"/>
        <w:rPr>
          <w:rFonts w:ascii="Arial" w:hAnsi="Arial"/>
          <w:noProof w:val="0"/>
          <w:rtl/>
        </w:rPr>
      </w:pPr>
      <w:r>
        <w:rPr>
          <w:rFonts w:ascii="Arial" w:hAnsi="Arial"/>
          <w:noProof w:val="0"/>
          <w:rtl/>
        </w:rPr>
        <w:t>4.</w:t>
      </w:r>
      <w:r>
        <w:rPr>
          <w:rFonts w:ascii="Arial" w:hAnsi="Arial"/>
          <w:noProof w:val="0"/>
          <w:rtl/>
        </w:rPr>
        <w:tab/>
        <w:t xml:space="preserve">המבקש "מציף" את בתי המשפט בבקשות לרוב והכל "בניסיון כפייתי להימלט מהצורך לשלם אגרות מחד או להפקיד ערבון סמלי להבטחת הוצאות המשיבים מאידך". לכן, יש לדחות את הבקשה ולחייב את המבקש בהוצאות. </w:t>
      </w:r>
    </w:p>
    <w:p w:rsidR="00A2429A" w:rsidRDefault="00A2429A" w:rsidP="00A2429A">
      <w:pPr>
        <w:spacing w:line="360" w:lineRule="auto"/>
        <w:jc w:val="both"/>
        <w:rPr>
          <w:rFonts w:ascii="Arial" w:hAnsi="Arial"/>
          <w:noProof w:val="0"/>
          <w:rtl/>
        </w:rPr>
      </w:pPr>
    </w:p>
    <w:p w:rsidR="00A2429A" w:rsidRDefault="00A2429A" w:rsidP="00A2429A">
      <w:pPr>
        <w:spacing w:line="360" w:lineRule="auto"/>
        <w:jc w:val="both"/>
        <w:rPr>
          <w:rFonts w:ascii="Arial" w:hAnsi="Arial"/>
          <w:b/>
          <w:bCs/>
          <w:noProof w:val="0"/>
          <w:rtl/>
        </w:rPr>
      </w:pPr>
      <w:r>
        <w:rPr>
          <w:rFonts w:ascii="Arial" w:hAnsi="Arial"/>
          <w:b/>
          <w:bCs/>
          <w:noProof w:val="0"/>
          <w:rtl/>
        </w:rPr>
        <w:t>ה.</w:t>
      </w:r>
      <w:r>
        <w:rPr>
          <w:rFonts w:ascii="Arial" w:hAnsi="Arial"/>
          <w:b/>
          <w:bCs/>
          <w:noProof w:val="0"/>
          <w:rtl/>
        </w:rPr>
        <w:tab/>
        <w:t>דיון והכרעה</w:t>
      </w:r>
    </w:p>
    <w:p w:rsidR="00A2429A" w:rsidRDefault="00A2429A" w:rsidP="00A2429A">
      <w:pPr>
        <w:spacing w:line="360" w:lineRule="auto"/>
        <w:jc w:val="both"/>
        <w:rPr>
          <w:rFonts w:ascii="Arial" w:hAnsi="Arial"/>
          <w:b/>
          <w:bCs/>
          <w:noProof w:val="0"/>
          <w:rtl/>
        </w:rPr>
      </w:pPr>
    </w:p>
    <w:p w:rsidR="00D9317F" w:rsidRDefault="00A2429A" w:rsidP="00E608C6">
      <w:pPr>
        <w:spacing w:line="360" w:lineRule="auto"/>
        <w:ind w:left="720" w:hanging="720"/>
        <w:jc w:val="both"/>
        <w:rPr>
          <w:rFonts w:ascii="Arial" w:hAnsi="Arial"/>
          <w:noProof w:val="0"/>
          <w:rtl/>
        </w:rPr>
      </w:pPr>
      <w:r>
        <w:rPr>
          <w:rFonts w:ascii="Arial" w:hAnsi="Arial"/>
          <w:noProof w:val="0"/>
          <w:rtl/>
        </w:rPr>
        <w:t>1.</w:t>
      </w:r>
      <w:r>
        <w:rPr>
          <w:rFonts w:ascii="Arial" w:hAnsi="Arial"/>
          <w:noProof w:val="0"/>
          <w:rtl/>
        </w:rPr>
        <w:tab/>
      </w:r>
      <w:r w:rsidR="00D9317F">
        <w:rPr>
          <w:rFonts w:ascii="Arial" w:hAnsi="Arial" w:hint="cs"/>
          <w:noProof w:val="0"/>
          <w:rtl/>
        </w:rPr>
        <w:t>לאחר עיון בבקשה והתשובה, אני סבור שיש לתת רשות ערעור</w:t>
      </w:r>
      <w:r w:rsidR="00E608C6">
        <w:rPr>
          <w:rFonts w:ascii="Arial" w:hAnsi="Arial" w:hint="cs"/>
          <w:noProof w:val="0"/>
          <w:rtl/>
        </w:rPr>
        <w:t>,</w:t>
      </w:r>
      <w:r w:rsidR="00D9317F">
        <w:rPr>
          <w:rFonts w:ascii="Arial" w:hAnsi="Arial" w:hint="cs"/>
          <w:noProof w:val="0"/>
          <w:rtl/>
        </w:rPr>
        <w:t xml:space="preserve"> היות שמדובר ב</w:t>
      </w:r>
      <w:r w:rsidR="00E03BD1">
        <w:rPr>
          <w:rFonts w:ascii="Arial" w:hAnsi="Arial" w:hint="cs"/>
          <w:noProof w:val="0"/>
          <w:rtl/>
        </w:rPr>
        <w:t xml:space="preserve">שאלה </w:t>
      </w:r>
      <w:r w:rsidR="00D9317F">
        <w:rPr>
          <w:rFonts w:ascii="Arial" w:hAnsi="Arial" w:hint="cs"/>
          <w:noProof w:val="0"/>
          <w:rtl/>
        </w:rPr>
        <w:t xml:space="preserve"> משפטית </w:t>
      </w:r>
      <w:r w:rsidR="00E608C6">
        <w:rPr>
          <w:rFonts w:ascii="Arial" w:hAnsi="Arial" w:hint="cs"/>
          <w:noProof w:val="0"/>
          <w:rtl/>
        </w:rPr>
        <w:t xml:space="preserve">עקרונית </w:t>
      </w:r>
      <w:r w:rsidR="00D9317F">
        <w:rPr>
          <w:rFonts w:ascii="Arial" w:hAnsi="Arial" w:hint="cs"/>
          <w:noProof w:val="0"/>
          <w:rtl/>
        </w:rPr>
        <w:t xml:space="preserve">והיא האם </w:t>
      </w:r>
      <w:r w:rsidR="00E608C6">
        <w:rPr>
          <w:rFonts w:ascii="Arial" w:hAnsi="Arial" w:hint="cs"/>
          <w:noProof w:val="0"/>
          <w:rtl/>
        </w:rPr>
        <w:t xml:space="preserve">היה </w:t>
      </w:r>
      <w:r w:rsidR="00D9317F">
        <w:rPr>
          <w:rFonts w:ascii="Arial" w:hAnsi="Arial" w:hint="cs"/>
          <w:noProof w:val="0"/>
          <w:rtl/>
        </w:rPr>
        <w:t>מוסמך בית המשפט לחייב את המבקש בהפקדת ערובה, למרות שעל פי התוספת השלישית לתקנות, ערעור על החלטת רשם שאינו רשם בכיר פטור מהפקדת ערובה</w:t>
      </w:r>
      <w:r w:rsidR="00E608C6">
        <w:rPr>
          <w:rFonts w:ascii="Arial" w:hAnsi="Arial" w:hint="cs"/>
          <w:noProof w:val="0"/>
          <w:rtl/>
        </w:rPr>
        <w:t>?</w:t>
      </w:r>
    </w:p>
    <w:p w:rsidR="00D9317F" w:rsidRDefault="00D9317F" w:rsidP="00A2429A">
      <w:pPr>
        <w:spacing w:line="360" w:lineRule="auto"/>
        <w:jc w:val="both"/>
        <w:rPr>
          <w:rFonts w:ascii="Arial" w:hAnsi="Arial"/>
          <w:noProof w:val="0"/>
          <w:rtl/>
        </w:rPr>
      </w:pPr>
    </w:p>
    <w:p w:rsidR="00A2429A" w:rsidRDefault="00D9317F" w:rsidP="00A2429A">
      <w:pPr>
        <w:spacing w:line="360" w:lineRule="auto"/>
        <w:jc w:val="both"/>
        <w:rPr>
          <w:rFonts w:ascii="Arial" w:hAnsi="Arial"/>
          <w:noProof w:val="0"/>
          <w:rtl/>
        </w:rPr>
      </w:pPr>
      <w:r>
        <w:rPr>
          <w:rFonts w:ascii="Arial" w:hAnsi="Arial" w:hint="cs"/>
          <w:noProof w:val="0"/>
          <w:rtl/>
        </w:rPr>
        <w:t>2.</w:t>
      </w:r>
      <w:r>
        <w:rPr>
          <w:rFonts w:ascii="Arial" w:hAnsi="Arial" w:hint="cs"/>
          <w:noProof w:val="0"/>
          <w:rtl/>
        </w:rPr>
        <w:tab/>
      </w:r>
      <w:r w:rsidR="00A2429A">
        <w:rPr>
          <w:rFonts w:ascii="Arial" w:hAnsi="Arial"/>
          <w:noProof w:val="0"/>
          <w:rtl/>
        </w:rPr>
        <w:t xml:space="preserve">ברע"א 1875/21 </w:t>
      </w:r>
      <w:r w:rsidR="00A2429A">
        <w:rPr>
          <w:rFonts w:ascii="Arial" w:hAnsi="Arial"/>
          <w:b/>
          <w:bCs/>
          <w:noProof w:val="0"/>
          <w:rtl/>
        </w:rPr>
        <w:t>יוסף שחם נ' אגף מס הכנסה</w:t>
      </w:r>
      <w:r w:rsidR="00A2429A">
        <w:rPr>
          <w:rFonts w:ascii="Arial" w:hAnsi="Arial"/>
          <w:noProof w:val="0"/>
          <w:rtl/>
        </w:rPr>
        <w:t xml:space="preserve"> (23.05.2021)‏ קבע ביהמ"ש כי:‏ </w:t>
      </w:r>
    </w:p>
    <w:p w:rsidR="00A2429A" w:rsidRDefault="00A2429A" w:rsidP="00A2429A">
      <w:pPr>
        <w:spacing w:line="360" w:lineRule="auto"/>
        <w:jc w:val="both"/>
        <w:rPr>
          <w:rFonts w:ascii="Arial" w:hAnsi="Arial"/>
          <w:noProof w:val="0"/>
          <w:rtl/>
        </w:rPr>
      </w:pPr>
    </w:p>
    <w:p w:rsidR="00A2429A" w:rsidRDefault="00A2429A" w:rsidP="00A2429A">
      <w:pPr>
        <w:spacing w:line="360" w:lineRule="auto"/>
        <w:ind w:left="720"/>
        <w:jc w:val="both"/>
        <w:rPr>
          <w:rFonts w:ascii="Arial" w:hAnsi="Arial"/>
          <w:noProof w:val="0"/>
          <w:rtl/>
        </w:rPr>
      </w:pPr>
      <w:r>
        <w:rPr>
          <w:rFonts w:ascii="Arial" w:hAnsi="Arial"/>
          <w:noProof w:val="0"/>
          <w:rtl/>
        </w:rPr>
        <w:t>"</w:t>
      </w:r>
      <w:r>
        <w:rPr>
          <w:rFonts w:ascii="Arial" w:hAnsi="Arial"/>
          <w:b/>
          <w:bCs/>
          <w:noProof w:val="0"/>
          <w:rtl/>
        </w:rPr>
        <w:t xml:space="preserve">הלכה היא כי החלטות הנוגעות להפקדת ערובה הן החלטות דיוניות-ניהוליות באופיין, המצויות בגדר שיקול דעתה הרחב של הערכאה המבררת. משכך תימנע ערכאת הערעור מלהתערב בהן, אלא במקרים חריגים בהם ההחלטה ניתנה בניגוד לדין או שהיא גורמת </w:t>
      </w:r>
      <w:r>
        <w:rPr>
          <w:rFonts w:ascii="Arial" w:hAnsi="Arial"/>
          <w:b/>
          <w:bCs/>
          <w:noProof w:val="0"/>
          <w:rtl/>
        </w:rPr>
        <w:lastRenderedPageBreak/>
        <w:t>לעיוות דין</w:t>
      </w:r>
      <w:r>
        <w:rPr>
          <w:rFonts w:ascii="Arial" w:hAnsi="Arial"/>
          <w:noProof w:val="0"/>
          <w:rtl/>
        </w:rPr>
        <w:t xml:space="preserve">... </w:t>
      </w:r>
      <w:r>
        <w:rPr>
          <w:rFonts w:ascii="Arial" w:hAnsi="Arial"/>
          <w:b/>
          <w:bCs/>
          <w:noProof w:val="0"/>
          <w:rtl/>
        </w:rPr>
        <w:t>בבסיס סמכותו של בית המשפט לחייב צד להליך בהפקדת ערובה להבטחת הוצאותיו של הצד שכנגד, שתי תכליות מרכזיות: הראשונה, הנלמדת מלשונה, היא הבטחת תשלום הוצאותיו של הצד הפסיבי ("הנתבע"), ככל שבסופו של יום יידחה ההליך בו מדובר וייפסקו הוצאות לטובתו; השנייה, היא מניעת ניצול לרעה של זכות הגישה לערכאות והרתעה מפני הגשת הליכי סרק – תביעות, בקשות, או ערעורים, לפי העניין. בבוא בית המשפט להכריע בבקשה להפקדת ערובה להבטחת הוצאות, עליו לאזן שתי תכליות אלו – הבטחת תשלום הוצאות הצד הפסיבי והרתעה מפני הגשת הליכי סרק – עם זכות הגישה של יוזם ההליך לערכאות, אשר מהווה זכות יסוד בשיטתנו במשפטית</w:t>
      </w:r>
      <w:r>
        <w:rPr>
          <w:rFonts w:ascii="Arial" w:hAnsi="Arial"/>
          <w:noProof w:val="0"/>
          <w:rtl/>
        </w:rPr>
        <w:t>."</w:t>
      </w:r>
    </w:p>
    <w:p w:rsidR="00A2429A" w:rsidRDefault="00A2429A" w:rsidP="00A2429A">
      <w:pPr>
        <w:spacing w:line="360" w:lineRule="auto"/>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תקנה 135(א) לתקנות דנה בהבטחת הוצאות המשיב בערעור וקובעת את הכלל לפיו: "</w:t>
      </w:r>
      <w:r>
        <w:rPr>
          <w:rFonts w:ascii="Arial" w:hAnsi="Arial"/>
          <w:b/>
          <w:bCs/>
          <w:noProof w:val="0"/>
          <w:rtl/>
        </w:rPr>
        <w:t>עם הגשת הערעור יפקיד המערער ערובה להבטחת הוצאות המשיבים בסכום הנקוב בתוספת השלישית וימציא הודעה על כך למשיב</w:t>
      </w:r>
      <w:r>
        <w:rPr>
          <w:rFonts w:ascii="Arial" w:hAnsi="Arial"/>
          <w:noProof w:val="0"/>
          <w:rtl/>
        </w:rPr>
        <w:t>".</w:t>
      </w:r>
    </w:p>
    <w:p w:rsidR="00A2429A" w:rsidRDefault="00A2429A" w:rsidP="00A2429A">
      <w:pPr>
        <w:spacing w:line="360" w:lineRule="auto"/>
        <w:ind w:left="720" w:hanging="720"/>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ab/>
        <w:t>תקנה 135(ב) מעניקה לביהמ"ש שיקול דעת לסטות מהכלל הקבוע בסעיף קטן (א) וקובעת</w:t>
      </w:r>
      <w:r w:rsidR="00D9317F">
        <w:rPr>
          <w:rFonts w:ascii="Arial" w:hAnsi="Arial" w:hint="cs"/>
          <w:noProof w:val="0"/>
          <w:rtl/>
        </w:rPr>
        <w:t xml:space="preserve"> כי</w:t>
      </w:r>
      <w:r>
        <w:rPr>
          <w:rFonts w:ascii="Arial" w:hAnsi="Arial"/>
          <w:noProof w:val="0"/>
          <w:rtl/>
        </w:rPr>
        <w:t>: "</w:t>
      </w:r>
      <w:r>
        <w:rPr>
          <w:rFonts w:ascii="Arial" w:hAnsi="Arial"/>
          <w:b/>
          <w:bCs/>
          <w:noProof w:val="0"/>
          <w:rtl/>
        </w:rPr>
        <w:t>על</w:t>
      </w:r>
      <w:r>
        <w:rPr>
          <w:b/>
          <w:bCs/>
          <w:rtl/>
        </w:rPr>
        <w:t xml:space="preserve"> </w:t>
      </w:r>
      <w:r>
        <w:rPr>
          <w:rFonts w:ascii="Arial" w:hAnsi="Arial"/>
          <w:b/>
          <w:bCs/>
          <w:noProof w:val="0"/>
          <w:rtl/>
        </w:rPr>
        <w:t>אף האמור בתקנת משנה (א), בית המשפט רשאי להורות על פטור ממתן ערובה או על שינוי סכומה</w:t>
      </w:r>
      <w:r>
        <w:rPr>
          <w:rFonts w:ascii="Arial" w:hAnsi="Arial"/>
          <w:noProof w:val="0"/>
          <w:rtl/>
        </w:rPr>
        <w:t xml:space="preserve">". </w:t>
      </w:r>
    </w:p>
    <w:p w:rsidR="00A2429A" w:rsidRDefault="00A2429A" w:rsidP="00A2429A">
      <w:pPr>
        <w:spacing w:line="360" w:lineRule="auto"/>
        <w:jc w:val="both"/>
        <w:rPr>
          <w:rFonts w:ascii="Arial" w:hAnsi="Arial"/>
          <w:noProof w:val="0"/>
          <w:rtl/>
        </w:rPr>
      </w:pPr>
    </w:p>
    <w:p w:rsidR="00A2429A" w:rsidRDefault="00A2429A" w:rsidP="00E608C6">
      <w:pPr>
        <w:spacing w:line="360" w:lineRule="auto"/>
        <w:ind w:left="720"/>
        <w:jc w:val="both"/>
        <w:rPr>
          <w:rFonts w:ascii="Arial" w:hAnsi="Arial"/>
          <w:noProof w:val="0"/>
          <w:rtl/>
        </w:rPr>
      </w:pPr>
      <w:r>
        <w:rPr>
          <w:rFonts w:ascii="Arial" w:hAnsi="Arial"/>
          <w:noProof w:val="0"/>
          <w:rtl/>
        </w:rPr>
        <w:t>פריט 79 לתוספת השלישית לתקנות עניינו קביעת סכום הערובה בערעור על החלטת רשם שאינו רשם בכיר ו</w:t>
      </w:r>
      <w:r w:rsidR="00E608C6">
        <w:rPr>
          <w:rFonts w:ascii="Arial" w:hAnsi="Arial" w:hint="cs"/>
          <w:noProof w:val="0"/>
          <w:rtl/>
        </w:rPr>
        <w:t>נקבע בו ש</w:t>
      </w:r>
      <w:r>
        <w:rPr>
          <w:rFonts w:ascii="Arial" w:hAnsi="Arial"/>
          <w:noProof w:val="0"/>
          <w:rtl/>
        </w:rPr>
        <w:t xml:space="preserve">ערעור על החלטה כזו </w:t>
      </w:r>
      <w:r>
        <w:rPr>
          <w:rFonts w:ascii="Arial" w:hAnsi="Arial"/>
          <w:b/>
          <w:bCs/>
          <w:noProof w:val="0"/>
          <w:rtl/>
        </w:rPr>
        <w:t>"פטור"</w:t>
      </w:r>
      <w:r>
        <w:rPr>
          <w:rFonts w:ascii="Arial" w:hAnsi="Arial"/>
          <w:noProof w:val="0"/>
          <w:rtl/>
        </w:rPr>
        <w:t xml:space="preserve"> מהפקדת ערבון.</w:t>
      </w:r>
    </w:p>
    <w:p w:rsidR="00A2429A" w:rsidRDefault="00A2429A" w:rsidP="00A2429A">
      <w:pPr>
        <w:spacing w:line="360" w:lineRule="auto"/>
        <w:jc w:val="both"/>
        <w:rPr>
          <w:rFonts w:ascii="Arial" w:hAnsi="Arial"/>
          <w:noProof w:val="0"/>
          <w:rtl/>
        </w:rPr>
      </w:pPr>
    </w:p>
    <w:p w:rsidR="00A2429A" w:rsidRDefault="00A2429A" w:rsidP="00E608C6">
      <w:pPr>
        <w:spacing w:line="360" w:lineRule="auto"/>
        <w:ind w:left="720" w:hanging="720"/>
        <w:jc w:val="both"/>
        <w:rPr>
          <w:rFonts w:ascii="Arial" w:hAnsi="Arial"/>
          <w:noProof w:val="0"/>
          <w:rtl/>
        </w:rPr>
      </w:pPr>
      <w:r>
        <w:rPr>
          <w:rFonts w:ascii="Arial" w:hAnsi="Arial"/>
          <w:noProof w:val="0"/>
          <w:rtl/>
        </w:rPr>
        <w:t>4.</w:t>
      </w:r>
      <w:r>
        <w:rPr>
          <w:rFonts w:ascii="Arial" w:hAnsi="Arial"/>
          <w:noProof w:val="0"/>
          <w:rtl/>
        </w:rPr>
        <w:tab/>
        <w:t>השאלה שיש להכריע בה היא האם מקום שבו קבוע בתוספת השלישית פטור סטטוטורי מהפקדת ערבון, רשאי ביהמ"ש לסטות מכך ולקבוע סכום עירבון להפקדה. כלומר, האם במסגרת שיקול הדעת המסור לביהמ"ש לשנות את סכומה של הערובה</w:t>
      </w:r>
      <w:r w:rsidR="00E608C6">
        <w:rPr>
          <w:rFonts w:ascii="Arial" w:hAnsi="Arial" w:hint="cs"/>
          <w:noProof w:val="0"/>
          <w:rtl/>
        </w:rPr>
        <w:t xml:space="preserve"> כקבוע בתקנה 135(ב) לתקנות, </w:t>
      </w:r>
      <w:r>
        <w:rPr>
          <w:rFonts w:ascii="Arial" w:hAnsi="Arial"/>
          <w:noProof w:val="0"/>
          <w:rtl/>
        </w:rPr>
        <w:t>רשאי ביהמ"ש לחייב בערובה למרות ש</w:t>
      </w:r>
      <w:r w:rsidR="00E608C6">
        <w:rPr>
          <w:rFonts w:ascii="Arial" w:hAnsi="Arial" w:hint="cs"/>
          <w:noProof w:val="0"/>
          <w:rtl/>
        </w:rPr>
        <w:t>ב</w:t>
      </w:r>
      <w:r>
        <w:rPr>
          <w:rFonts w:ascii="Arial" w:hAnsi="Arial"/>
          <w:noProof w:val="0"/>
          <w:rtl/>
        </w:rPr>
        <w:t xml:space="preserve">תקנות </w:t>
      </w:r>
      <w:r w:rsidR="00E608C6">
        <w:rPr>
          <w:rFonts w:ascii="Arial" w:hAnsi="Arial" w:hint="cs"/>
          <w:noProof w:val="0"/>
          <w:rtl/>
        </w:rPr>
        <w:t>נקבע</w:t>
      </w:r>
      <w:r>
        <w:rPr>
          <w:rFonts w:ascii="Arial" w:hAnsi="Arial"/>
          <w:noProof w:val="0"/>
          <w:rtl/>
        </w:rPr>
        <w:t xml:space="preserve"> פטור מערובה?</w:t>
      </w:r>
    </w:p>
    <w:p w:rsidR="00A2429A" w:rsidRDefault="00A2429A" w:rsidP="00A2429A">
      <w:pPr>
        <w:spacing w:line="360" w:lineRule="auto"/>
        <w:ind w:left="720" w:hanging="720"/>
        <w:jc w:val="both"/>
        <w:rPr>
          <w:rFonts w:ascii="Arial" w:hAnsi="Arial"/>
          <w:noProof w:val="0"/>
          <w:rtl/>
        </w:rPr>
      </w:pPr>
    </w:p>
    <w:p w:rsidR="00A2429A" w:rsidRPr="00D9317F" w:rsidRDefault="00D9317F" w:rsidP="00D9317F">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r w:rsidR="00A2429A" w:rsidRPr="00D9317F">
        <w:rPr>
          <w:rFonts w:ascii="Arial" w:hAnsi="Arial"/>
          <w:noProof w:val="0"/>
          <w:rtl/>
        </w:rPr>
        <w:t>ב</w:t>
      </w:r>
      <w:r w:rsidR="00A2429A" w:rsidRPr="00D9317F">
        <w:rPr>
          <w:rFonts w:ascii="Arial" w:hAnsi="Arial"/>
          <w:b/>
          <w:bCs/>
          <w:noProof w:val="0"/>
          <w:rtl/>
        </w:rPr>
        <w:t>תקנות סדר הדין האזרחי</w:t>
      </w:r>
      <w:r w:rsidR="00A2429A" w:rsidRPr="00D9317F">
        <w:rPr>
          <w:rFonts w:ascii="Arial" w:hAnsi="Arial"/>
          <w:noProof w:val="0"/>
          <w:rtl/>
        </w:rPr>
        <w:t xml:space="preserve">, תשמ"ד-1984 (להלן: </w:t>
      </w:r>
      <w:r w:rsidR="00A2429A" w:rsidRPr="00D9317F">
        <w:rPr>
          <w:rFonts w:ascii="Arial" w:hAnsi="Arial"/>
          <w:b/>
          <w:bCs/>
          <w:noProof w:val="0"/>
          <w:rtl/>
        </w:rPr>
        <w:t>התקנות הישנות</w:t>
      </w:r>
      <w:r w:rsidR="00A2429A" w:rsidRPr="00D9317F">
        <w:rPr>
          <w:rFonts w:ascii="Arial" w:hAnsi="Arial"/>
          <w:noProof w:val="0"/>
          <w:rtl/>
        </w:rPr>
        <w:t xml:space="preserve">), תקנה 427 קבעה את הכלל לפיו בערעור בעניין אזרחי על המערער להפקיד עירבון להבטחת הוצאות המשיב בערעור. </w:t>
      </w:r>
      <w:r w:rsidR="00A2429A" w:rsidRPr="00D9317F">
        <w:rPr>
          <w:rFonts w:ascii="Arial" w:hAnsi="Arial"/>
          <w:b/>
          <w:bCs/>
          <w:noProof w:val="0"/>
          <w:rtl/>
        </w:rPr>
        <w:t xml:space="preserve">תקנה 400 </w:t>
      </w:r>
      <w:r w:rsidR="00A2429A" w:rsidRPr="00D9317F">
        <w:rPr>
          <w:rFonts w:ascii="Arial" w:hAnsi="Arial"/>
          <w:noProof w:val="0"/>
          <w:rtl/>
        </w:rPr>
        <w:t>לתקנות הישנות קובעת חריג לכלל ולפיו ניתן פטור מהפקדת ערובה כאשר מדובר בערעור על החלטת רשם לפי סעיף 96 ל</w:t>
      </w:r>
      <w:r w:rsidR="00A2429A" w:rsidRPr="00D9317F">
        <w:rPr>
          <w:rFonts w:ascii="Arial" w:hAnsi="Arial"/>
          <w:b/>
          <w:bCs/>
          <w:noProof w:val="0"/>
          <w:rtl/>
        </w:rPr>
        <w:t>חוק בתי המשפט</w:t>
      </w:r>
      <w:r w:rsidR="00A2429A" w:rsidRPr="00D9317F">
        <w:rPr>
          <w:rFonts w:ascii="Arial" w:hAnsi="Arial"/>
          <w:noProof w:val="0"/>
          <w:rtl/>
        </w:rPr>
        <w:t xml:space="preserve"> [נוסח משולב], התשמ"ד-1984. הפרשנות שניתנה לחריג הקבוע בתקנה 400 קבעה שהסייג הפוטר מהפקדת עירבון בערעור חל כאשר מדובר בערעור על </w:t>
      </w:r>
      <w:r w:rsidR="00A2429A" w:rsidRPr="00D9317F">
        <w:rPr>
          <w:rFonts w:ascii="Arial" w:hAnsi="Arial"/>
          <w:b/>
          <w:bCs/>
          <w:noProof w:val="0"/>
          <w:rtl/>
        </w:rPr>
        <w:t>"</w:t>
      </w:r>
      <w:r w:rsidR="00A2429A" w:rsidRPr="00D9317F">
        <w:rPr>
          <w:rFonts w:ascii="Arial" w:hAnsi="Arial"/>
          <w:noProof w:val="0"/>
          <w:rtl/>
        </w:rPr>
        <w:t xml:space="preserve">החלטה אחרת" של רשם המתברר לפני שופט באותה ערכאה שבה הרשם מכהן (ראו: בש"א 9397/11 </w:t>
      </w:r>
      <w:r w:rsidR="00A2429A" w:rsidRPr="00D9317F">
        <w:rPr>
          <w:rFonts w:ascii="Arial" w:hAnsi="Arial"/>
          <w:b/>
          <w:bCs/>
          <w:noProof w:val="0"/>
          <w:rtl/>
        </w:rPr>
        <w:t xml:space="preserve">מועב שירותי מזון בע"מ נ' חנית נוב עו"ד </w:t>
      </w:r>
      <w:r w:rsidR="00A2429A" w:rsidRPr="00D9317F">
        <w:rPr>
          <w:rFonts w:ascii="Arial" w:hAnsi="Arial"/>
          <w:noProof w:val="0"/>
          <w:rtl/>
        </w:rPr>
        <w:t xml:space="preserve">(5.2.12) (להלן: </w:t>
      </w:r>
      <w:r w:rsidR="00A2429A" w:rsidRPr="00D9317F">
        <w:rPr>
          <w:rFonts w:ascii="Arial" w:hAnsi="Arial"/>
          <w:b/>
          <w:bCs/>
          <w:noProof w:val="0"/>
          <w:rtl/>
        </w:rPr>
        <w:t>עניין מועב</w:t>
      </w:r>
      <w:r w:rsidR="00A2429A" w:rsidRPr="00D9317F">
        <w:rPr>
          <w:rFonts w:ascii="Arial" w:hAnsi="Arial"/>
          <w:noProof w:val="0"/>
          <w:rtl/>
        </w:rPr>
        <w:t xml:space="preserve">) והאסמכתאות המובאות שם בפסקה 10). באשר לתכלית החקיקתית של הפטור הניתן למערער מהפקדת עירבון בערעור על החלטה </w:t>
      </w:r>
      <w:r w:rsidR="00A2429A" w:rsidRPr="00D9317F">
        <w:rPr>
          <w:rFonts w:ascii="Arial" w:hAnsi="Arial"/>
          <w:noProof w:val="0"/>
          <w:rtl/>
        </w:rPr>
        <w:lastRenderedPageBreak/>
        <w:t xml:space="preserve">אחרת של רשם, נקבע בע"א 7523/02 </w:t>
      </w:r>
      <w:r w:rsidR="00A2429A" w:rsidRPr="00D9317F">
        <w:rPr>
          <w:rFonts w:ascii="Arial" w:hAnsi="Arial"/>
          <w:b/>
          <w:bCs/>
          <w:noProof w:val="0"/>
          <w:rtl/>
        </w:rPr>
        <w:t>דני נסים נ' מעריב, הוצאת מודיעין בע"מ</w:t>
      </w:r>
      <w:r w:rsidR="00A2429A" w:rsidRPr="00D9317F">
        <w:rPr>
          <w:rFonts w:ascii="Arial" w:hAnsi="Arial"/>
          <w:noProof w:val="0"/>
          <w:rtl/>
        </w:rPr>
        <w:t>, נז(1) 865 (2002)‏ כי:</w:t>
      </w:r>
    </w:p>
    <w:p w:rsidR="00A2429A" w:rsidRDefault="00A2429A" w:rsidP="00A2429A">
      <w:pPr>
        <w:spacing w:line="360" w:lineRule="auto"/>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 xml:space="preserve">‏ </w:t>
      </w:r>
      <w:r>
        <w:rPr>
          <w:rFonts w:ascii="Arial" w:hAnsi="Arial"/>
          <w:noProof w:val="0"/>
          <w:rtl/>
        </w:rPr>
        <w:tab/>
        <w:t>"</w:t>
      </w:r>
      <w:r>
        <w:rPr>
          <w:rFonts w:ascii="Arial" w:hAnsi="Arial"/>
          <w:b/>
          <w:bCs/>
          <w:noProof w:val="0"/>
          <w:rtl/>
        </w:rPr>
        <w:t>ניתן להבין את הפטור מחובת ההפקדה לערעור על החלטה אחרת של רשם, שכן ערעור זה מוגש בפני אותה ערכאה שהרשם מכהן בה, ובמובן זה ניתן לראות באותו ערעור חלק מן ההליך המתנהל באותה ערכאה, ואין מקום לחייבו בהפקדת עירבון, אלא אם כן חויב המערער בהפקדת עירבון בגדרו של ההליך העיקרי לפי מצוות תקנה 519.</w:t>
      </w:r>
      <w:r>
        <w:rPr>
          <w:rFonts w:ascii="Arial" w:hAnsi="Arial"/>
          <w:noProof w:val="0"/>
          <w:rtl/>
        </w:rPr>
        <w:t>"</w:t>
      </w:r>
    </w:p>
    <w:p w:rsidR="00A2429A" w:rsidRDefault="00A2429A" w:rsidP="00A2429A">
      <w:pPr>
        <w:spacing w:line="360" w:lineRule="auto"/>
        <w:ind w:left="720" w:hanging="720"/>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ab/>
        <w:t>בעניין מועב (פסקה 15) צוין כי:</w:t>
      </w:r>
    </w:p>
    <w:p w:rsidR="00A2429A" w:rsidRDefault="00A2429A" w:rsidP="00A2429A">
      <w:pPr>
        <w:spacing w:line="360" w:lineRule="auto"/>
        <w:ind w:left="720" w:hanging="720"/>
        <w:jc w:val="both"/>
        <w:rPr>
          <w:rFonts w:ascii="Arial" w:hAnsi="Arial"/>
          <w:noProof w:val="0"/>
          <w:rtl/>
        </w:rPr>
      </w:pPr>
    </w:p>
    <w:p w:rsidR="00A2429A" w:rsidRDefault="00A2429A" w:rsidP="00A2429A">
      <w:pPr>
        <w:spacing w:line="360" w:lineRule="auto"/>
        <w:ind w:left="720" w:hanging="720"/>
        <w:jc w:val="both"/>
        <w:rPr>
          <w:rFonts w:ascii="Arial" w:hAnsi="Arial"/>
          <w:noProof w:val="0"/>
          <w:rtl/>
        </w:rPr>
      </w:pPr>
      <w:r>
        <w:rPr>
          <w:rFonts w:ascii="Arial" w:hAnsi="Arial"/>
          <w:noProof w:val="0"/>
          <w:rtl/>
        </w:rPr>
        <w:tab/>
        <w:t>"</w:t>
      </w:r>
      <w:r>
        <w:rPr>
          <w:rFonts w:ascii="Arial" w:hAnsi="Arial"/>
          <w:b/>
          <w:bCs/>
          <w:noProof w:val="0"/>
          <w:rtl/>
        </w:rPr>
        <w:t>הפטור מהחובה להפקיד עירבון עשוי להיחשב כחלק מתפיסת-היסוד של המחוקק לאפשר לבעל-דין שעניינו נדון לפני רשם, להביא את עניינו לבחינה ערעורית לפני שופט של אותה הערכאה, תוך הסרת חסמים דיוניים מקובלים החלים בהליכים ערעוריים על "החלטות אחרות" של שופטים, קרי - ללא צורך בבקשת רשות ערעור וכן ללא צורך בהפקדת עירבון. זאת, נוכח ראייתו של הרשם כדרג שיפוטי נמוך יותר ביחס לשופט המכהן באותה ערכאה</w:t>
      </w:r>
      <w:r>
        <w:rPr>
          <w:rFonts w:ascii="Arial" w:hAnsi="Arial"/>
          <w:noProof w:val="0"/>
          <w:rtl/>
        </w:rPr>
        <w:t>".</w:t>
      </w:r>
    </w:p>
    <w:p w:rsidR="00A2429A" w:rsidRDefault="00A2429A" w:rsidP="00A2429A">
      <w:pPr>
        <w:spacing w:line="360" w:lineRule="auto"/>
        <w:ind w:left="720" w:hanging="720"/>
        <w:jc w:val="both"/>
        <w:rPr>
          <w:rFonts w:ascii="Arial" w:hAnsi="Arial"/>
          <w:noProof w:val="0"/>
          <w:rtl/>
        </w:rPr>
      </w:pPr>
    </w:p>
    <w:p w:rsidR="00A2429A" w:rsidRDefault="00A2429A" w:rsidP="003201AA">
      <w:pPr>
        <w:spacing w:line="360" w:lineRule="auto"/>
        <w:ind w:left="720" w:hanging="720"/>
        <w:jc w:val="both"/>
        <w:rPr>
          <w:rFonts w:ascii="Arial" w:hAnsi="Arial"/>
          <w:noProof w:val="0"/>
          <w:rtl/>
        </w:rPr>
      </w:pPr>
      <w:r>
        <w:rPr>
          <w:rFonts w:ascii="Arial" w:hAnsi="Arial"/>
          <w:noProof w:val="0"/>
          <w:rtl/>
        </w:rPr>
        <w:t>6.</w:t>
      </w:r>
      <w:r>
        <w:rPr>
          <w:rFonts w:ascii="Arial" w:hAnsi="Arial"/>
          <w:noProof w:val="0"/>
          <w:rtl/>
        </w:rPr>
        <w:tab/>
        <w:t xml:space="preserve">במסגרת התקנות החדשות, הוספה התוספת השלישית </w:t>
      </w:r>
      <w:r w:rsidR="001E7D90">
        <w:rPr>
          <w:rFonts w:ascii="Arial" w:hAnsi="Arial" w:hint="cs"/>
          <w:noProof w:val="0"/>
          <w:rtl/>
        </w:rPr>
        <w:t>ש</w:t>
      </w:r>
      <w:r>
        <w:rPr>
          <w:rFonts w:ascii="Arial" w:hAnsi="Arial"/>
          <w:noProof w:val="0"/>
          <w:rtl/>
        </w:rPr>
        <w:t xml:space="preserve">במסגרתה פורטו סכומי העירבון שיש לקבוע בכל אחד מסוגי הערעור, תוך הקניית שיקול דעת לביהמ"ש לחרוג מהסכומים הנקובים. בפריט 79 לתוספת השלישית המעניק פטור מעירבון בערעור על החלטות אחרות של רשם ביהמ"ש, עוגן הפטור שהיה נהוג בהתאם לתקנות הישנות. הרציונליים שעמדו בבסיס מתן הפטור בהתאם לתקנות הישנות, חלים גם על התקנות החדשות. </w:t>
      </w:r>
    </w:p>
    <w:p w:rsidR="00A2429A" w:rsidRDefault="00A2429A" w:rsidP="00A2429A">
      <w:pPr>
        <w:spacing w:line="360" w:lineRule="auto"/>
        <w:ind w:left="720" w:hanging="720"/>
        <w:jc w:val="both"/>
        <w:rPr>
          <w:rFonts w:ascii="Arial" w:hAnsi="Arial"/>
          <w:noProof w:val="0"/>
          <w:rtl/>
        </w:rPr>
      </w:pPr>
      <w:r>
        <w:rPr>
          <w:rFonts w:ascii="Arial" w:hAnsi="Arial"/>
          <w:noProof w:val="0"/>
          <w:rtl/>
        </w:rPr>
        <w:t xml:space="preserve">  </w:t>
      </w:r>
    </w:p>
    <w:p w:rsidR="00A2429A" w:rsidRDefault="00A2429A" w:rsidP="00A2429A">
      <w:pPr>
        <w:spacing w:line="360" w:lineRule="auto"/>
        <w:ind w:left="720"/>
        <w:jc w:val="both"/>
        <w:rPr>
          <w:rFonts w:ascii="Arial" w:hAnsi="Arial"/>
          <w:noProof w:val="0"/>
          <w:rtl/>
        </w:rPr>
      </w:pPr>
      <w:r>
        <w:rPr>
          <w:rFonts w:ascii="Arial" w:hAnsi="Arial"/>
          <w:noProof w:val="0"/>
          <w:rtl/>
        </w:rPr>
        <w:t xml:space="preserve">בע"א 5835/21 </w:t>
      </w:r>
      <w:r>
        <w:rPr>
          <w:rFonts w:ascii="Arial" w:hAnsi="Arial"/>
          <w:b/>
          <w:bCs/>
          <w:noProof w:val="0"/>
          <w:rtl/>
        </w:rPr>
        <w:t xml:space="preserve">אברהם סימון נ' הבנק הבינלאומי הראשון בע"מ - סניף אשדוד </w:t>
      </w:r>
      <w:r>
        <w:rPr>
          <w:rFonts w:ascii="Arial" w:hAnsi="Arial"/>
          <w:noProof w:val="0"/>
          <w:rtl/>
        </w:rPr>
        <w:t xml:space="preserve">(30.09.2021)‏ ציין רשם ביהמ"ש העליון כי:‏ </w:t>
      </w:r>
    </w:p>
    <w:p w:rsidR="00A2429A" w:rsidRDefault="00A2429A" w:rsidP="00A2429A">
      <w:pPr>
        <w:spacing w:line="360" w:lineRule="auto"/>
        <w:ind w:left="720"/>
        <w:jc w:val="both"/>
        <w:rPr>
          <w:rFonts w:ascii="Arial" w:hAnsi="Arial"/>
          <w:noProof w:val="0"/>
          <w:rtl/>
        </w:rPr>
      </w:pPr>
    </w:p>
    <w:p w:rsidR="00A2429A" w:rsidRDefault="00A2429A" w:rsidP="00A2429A">
      <w:pPr>
        <w:spacing w:line="360" w:lineRule="auto"/>
        <w:ind w:left="720"/>
        <w:jc w:val="both"/>
        <w:rPr>
          <w:rFonts w:ascii="Arial" w:hAnsi="Arial"/>
          <w:noProof w:val="0"/>
          <w:rtl/>
        </w:rPr>
      </w:pPr>
      <w:r>
        <w:rPr>
          <w:rFonts w:ascii="Arial" w:hAnsi="Arial"/>
          <w:noProof w:val="0"/>
          <w:rtl/>
        </w:rPr>
        <w:t>"</w:t>
      </w:r>
      <w:r>
        <w:rPr>
          <w:rFonts w:ascii="Arial" w:hAnsi="Arial"/>
          <w:b/>
          <w:bCs/>
          <w:noProof w:val="0"/>
          <w:rtl/>
        </w:rPr>
        <w:t xml:space="preserve">התכלית המרכזית שבגינה ניתן פטור מהפקדת ערובה בהליך של ערעור על "החלטה אחרת" של רשם בית המשפט העליון הינה להקל עם בעל-דין שעניינו נדון לפני רשם כאמור, והוא מעוניין להביא את עניינו לבירור ערעורי לפני שופט. תכלית זו עומדת אף ביסוד הכלל הדיוני הידוע שלפיו "החלטה אחרת" של רשם (ובכלל זה רשם בית המשפט העליון) נתונה לערעור בזכות בפני שופט של אותה הערכאה בה מכהן הרשם (סעיף 96(ב) לחוק בתי המשפט)... נראה, אפוא, כי כחלק מהקלת התנאים הדיוניים כמתואר סבר מתקין התקנות כי אין מקום לחייב בהפקדת ערובה בהליך ערעורי המופנה כנגד "החלטה אחרת" של רשם בית המשפט העליון, של רשם בית משפט השלום או בית המשפט המחוזי שאינו רשם בכיר, אשר מתברר באותה ערכאה שבה מכהן הרשם. על כך יש </w:t>
      </w:r>
      <w:r>
        <w:rPr>
          <w:rFonts w:ascii="Arial" w:hAnsi="Arial"/>
          <w:b/>
          <w:bCs/>
          <w:noProof w:val="0"/>
          <w:rtl/>
        </w:rPr>
        <w:lastRenderedPageBreak/>
        <w:t>להוסיף ולהעיר כי במקרים רבים ערעורים על "החלטה אחרת" של רשם בית המשפט העליון מופנים כנגד החלטות בבקשות לפטור מאגרה ומערובה ובכגון דא נראה כי מוקנה פטור סטטוטורי מהפקדת הערובה על מנת למנוע "מעגל דיוני שוטה" שבו יחויב יוזם ההליך להפקיד ערובה אך על מנת שיתבררו טענותיו לפיהן נעדר הוא יכולת להפקיד ערובה..."</w:t>
      </w:r>
      <w:r>
        <w:rPr>
          <w:rFonts w:ascii="Arial" w:hAnsi="Arial"/>
          <w:noProof w:val="0"/>
          <w:rtl/>
        </w:rPr>
        <w:t>.</w:t>
      </w:r>
    </w:p>
    <w:p w:rsidR="001E7D90" w:rsidRDefault="001E7D90" w:rsidP="00A2429A">
      <w:pPr>
        <w:spacing w:line="360" w:lineRule="auto"/>
        <w:ind w:left="720"/>
        <w:jc w:val="both"/>
        <w:rPr>
          <w:rFonts w:ascii="Arial" w:hAnsi="Arial"/>
          <w:noProof w:val="0"/>
          <w:rtl/>
        </w:rPr>
      </w:pPr>
    </w:p>
    <w:p w:rsidR="00A2429A" w:rsidRDefault="00171A84" w:rsidP="00171A84">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sidR="00A2429A">
        <w:rPr>
          <w:rFonts w:ascii="Arial" w:hAnsi="Arial"/>
          <w:noProof w:val="0"/>
          <w:rtl/>
        </w:rPr>
        <w:t xml:space="preserve">אכן, הפסיקה הכירה בכך שלביהמ"ש מוקנית סמכות לחרוג מהסכומים הנקובים בתוספת השלישית, מעלה או מטה (רע"א 1875/21 </w:t>
      </w:r>
      <w:r w:rsidR="00A2429A">
        <w:rPr>
          <w:rFonts w:ascii="Arial" w:hAnsi="Arial"/>
          <w:b/>
          <w:bCs/>
          <w:noProof w:val="0"/>
          <w:rtl/>
        </w:rPr>
        <w:t xml:space="preserve">שחם נ' אגף מס הכנסה </w:t>
      </w:r>
      <w:r w:rsidR="00A2429A">
        <w:rPr>
          <w:rFonts w:ascii="Arial" w:hAnsi="Arial"/>
          <w:noProof w:val="0"/>
          <w:rtl/>
        </w:rPr>
        <w:t xml:space="preserve">פסקה 14 לפסק הדין (23.5.2021); ע"א 7300/21 </w:t>
      </w:r>
      <w:r w:rsidR="00A2429A">
        <w:rPr>
          <w:rFonts w:ascii="Arial" w:hAnsi="Arial"/>
          <w:b/>
          <w:bCs/>
          <w:noProof w:val="0"/>
          <w:rtl/>
        </w:rPr>
        <w:t xml:space="preserve">משה מישל אסרף נ' כפיר בובליל </w:t>
      </w:r>
      <w:r w:rsidR="00A2429A">
        <w:rPr>
          <w:rFonts w:ascii="Arial" w:hAnsi="Arial"/>
          <w:noProof w:val="0"/>
          <w:rtl/>
        </w:rPr>
        <w:t xml:space="preserve">(24.02.2022)). ברם, אני סבור כי משמתקין התקנות קבע </w:t>
      </w:r>
      <w:r w:rsidR="001E7D90">
        <w:rPr>
          <w:rFonts w:ascii="Arial" w:hAnsi="Arial" w:hint="cs"/>
          <w:noProof w:val="0"/>
          <w:rtl/>
        </w:rPr>
        <w:t>ש</w:t>
      </w:r>
      <w:r w:rsidR="00A2429A">
        <w:rPr>
          <w:rFonts w:ascii="Arial" w:hAnsi="Arial"/>
          <w:noProof w:val="0"/>
          <w:rtl/>
        </w:rPr>
        <w:t xml:space="preserve">ערעור על החלטת רשם פטור מהפקדת ערובה, לא מוסמך בית המשפט לקבוע שתופקד ערובה. ודוק: בתקנה 135(ב) לתקנות הוסמך בית המשפט להורות על מתן פטור מהפקדת ערובה או על שינויה. בית המשפט לא הוסמך להטיל ערובה שעה שמחוקק המשנה הורה על </w:t>
      </w:r>
      <w:r w:rsidR="001E7D90">
        <w:rPr>
          <w:rFonts w:ascii="Arial" w:hAnsi="Arial" w:hint="cs"/>
          <w:noProof w:val="0"/>
          <w:rtl/>
        </w:rPr>
        <w:t>הענקת</w:t>
      </w:r>
      <w:r w:rsidR="00A2429A">
        <w:rPr>
          <w:rFonts w:ascii="Arial" w:hAnsi="Arial"/>
          <w:noProof w:val="0"/>
          <w:rtl/>
        </w:rPr>
        <w:t xml:space="preserve"> פטור מהפקדה.</w:t>
      </w:r>
    </w:p>
    <w:p w:rsidR="001E7D90" w:rsidRDefault="001E7D90" w:rsidP="001E7D90">
      <w:pPr>
        <w:spacing w:line="360" w:lineRule="auto"/>
        <w:ind w:left="360" w:hanging="360"/>
        <w:jc w:val="both"/>
        <w:rPr>
          <w:rFonts w:ascii="Arial" w:hAnsi="Arial"/>
          <w:noProof w:val="0"/>
          <w:rtl/>
        </w:rPr>
      </w:pPr>
    </w:p>
    <w:p w:rsidR="00A2429A" w:rsidRDefault="001E7D90" w:rsidP="00171A84">
      <w:pPr>
        <w:spacing w:line="360" w:lineRule="auto"/>
        <w:ind w:left="720" w:hanging="720"/>
        <w:jc w:val="both"/>
        <w:rPr>
          <w:rFonts w:ascii="Arial" w:hAnsi="Arial"/>
          <w:b/>
          <w:bCs/>
          <w:noProof w:val="0"/>
          <w:rtl/>
        </w:rPr>
      </w:pPr>
      <w:r>
        <w:rPr>
          <w:rFonts w:ascii="Arial" w:hAnsi="Arial" w:hint="cs"/>
          <w:noProof w:val="0"/>
          <w:rtl/>
        </w:rPr>
        <w:t>8.</w:t>
      </w:r>
      <w:r>
        <w:rPr>
          <w:rFonts w:ascii="Arial" w:hAnsi="Arial" w:hint="cs"/>
          <w:noProof w:val="0"/>
          <w:rtl/>
        </w:rPr>
        <w:tab/>
        <w:t xml:space="preserve">כשיש ספק ביחס לפרשנותו של חיקוק, יש להעניק לו פירוש שיהלום את עקרונות היסוד של שיטתנו המשפטית, לפיה זכות הגישה לערכאות היא זכות מהותית וחשובה. </w:t>
      </w:r>
      <w:r w:rsidR="00A2429A">
        <w:rPr>
          <w:rFonts w:ascii="Arial" w:hAnsi="Arial"/>
          <w:noProof w:val="0"/>
          <w:rtl/>
        </w:rPr>
        <w:t>במקרה דנן, שעה שהערעור שהוגש לביהמ"ש קמא הוא על דחיית בקשתו לפטור מאגרה, יפים דברי י' רוזן-צבי</w:t>
      </w:r>
      <w:r w:rsidR="003201AA">
        <w:rPr>
          <w:rFonts w:ascii="Arial" w:hAnsi="Arial" w:hint="cs"/>
          <w:noProof w:val="0"/>
          <w:rtl/>
        </w:rPr>
        <w:t xml:space="preserve"> בספרו</w:t>
      </w:r>
      <w:r w:rsidR="00A2429A">
        <w:rPr>
          <w:rFonts w:ascii="Arial" w:hAnsi="Arial"/>
          <w:noProof w:val="0"/>
          <w:rtl/>
        </w:rPr>
        <w:t xml:space="preserve"> </w:t>
      </w:r>
      <w:r w:rsidR="00A2429A">
        <w:rPr>
          <w:rFonts w:ascii="Arial" w:hAnsi="Arial"/>
          <w:b/>
          <w:bCs/>
          <w:noProof w:val="0"/>
          <w:rtl/>
        </w:rPr>
        <w:t xml:space="preserve">הרפורמה בסדר הדין האזרחי: מורה נבוכים </w:t>
      </w:r>
      <w:r w:rsidR="00A2429A">
        <w:rPr>
          <w:rFonts w:ascii="Arial" w:hAnsi="Arial"/>
          <w:noProof w:val="0"/>
          <w:rtl/>
        </w:rPr>
        <w:t xml:space="preserve">(מהדורה שנייה, 2023) בעמ' 530 </w:t>
      </w:r>
      <w:r w:rsidR="007E4093">
        <w:rPr>
          <w:rFonts w:ascii="Arial" w:hAnsi="Arial" w:hint="cs"/>
          <w:noProof w:val="0"/>
          <w:rtl/>
        </w:rPr>
        <w:t xml:space="preserve">שציין </w:t>
      </w:r>
      <w:r w:rsidR="00A2429A">
        <w:rPr>
          <w:rFonts w:ascii="Arial" w:hAnsi="Arial"/>
          <w:noProof w:val="0"/>
          <w:rtl/>
        </w:rPr>
        <w:t>כי: "</w:t>
      </w:r>
      <w:r w:rsidR="00A2429A">
        <w:rPr>
          <w:rFonts w:ascii="Arial" w:hAnsi="Arial"/>
          <w:b/>
          <w:bCs/>
          <w:noProof w:val="0"/>
          <w:rtl/>
        </w:rPr>
        <w:t>כאשר ההליך הערעורי העיקרי קשור קשר הדוק לעצם יכולתו הכלכלית של בעל הדין, הנטייה תהיה לבחון בגמישות את בקשת הפטור, לרבות התנאי בדבר סיכויי הערעור, כדי "להימנע ממעגל קסמים" שיפגע קשות בזכות הגישה לערכאות של מעוטי יכולת, שהרי חיוב בעירבון כתנאי לערעור עלול לסכל את זכות הערעור של מערערים נעדרי יכולת כלכלית</w:t>
      </w:r>
      <w:r w:rsidR="00A2429A">
        <w:rPr>
          <w:rFonts w:ascii="Arial" w:hAnsi="Arial"/>
          <w:noProof w:val="0"/>
          <w:rtl/>
        </w:rPr>
        <w:t>".</w:t>
      </w:r>
      <w:r w:rsidR="00A2429A">
        <w:rPr>
          <w:rFonts w:ascii="Arial" w:hAnsi="Arial"/>
          <w:b/>
          <w:bCs/>
          <w:noProof w:val="0"/>
          <w:rtl/>
        </w:rPr>
        <w:t xml:space="preserve"> </w:t>
      </w:r>
    </w:p>
    <w:p w:rsidR="001827B4" w:rsidRDefault="001827B4" w:rsidP="001827B4">
      <w:pPr>
        <w:spacing w:line="360" w:lineRule="auto"/>
        <w:ind w:left="360" w:hanging="360"/>
        <w:jc w:val="both"/>
        <w:rPr>
          <w:rFonts w:ascii="Arial" w:hAnsi="Arial"/>
          <w:b/>
          <w:bCs/>
          <w:noProof w:val="0"/>
          <w:rtl/>
        </w:rPr>
      </w:pPr>
    </w:p>
    <w:p w:rsidR="001827B4" w:rsidRDefault="001827B4" w:rsidP="00171A84">
      <w:pPr>
        <w:spacing w:line="360" w:lineRule="auto"/>
        <w:ind w:left="720" w:hanging="720"/>
        <w:jc w:val="both"/>
        <w:rPr>
          <w:rFonts w:ascii="Arial" w:hAnsi="Arial"/>
          <w:noProof w:val="0"/>
          <w:rtl/>
        </w:rPr>
      </w:pPr>
      <w:r w:rsidRPr="001827B4">
        <w:rPr>
          <w:rFonts w:ascii="Arial" w:hAnsi="Arial" w:hint="cs"/>
          <w:noProof w:val="0"/>
          <w:rtl/>
        </w:rPr>
        <w:t>9</w:t>
      </w:r>
      <w:r>
        <w:rPr>
          <w:rFonts w:ascii="Arial" w:hAnsi="Arial" w:hint="cs"/>
          <w:b/>
          <w:bCs/>
          <w:noProof w:val="0"/>
          <w:rtl/>
        </w:rPr>
        <w:t>.</w:t>
      </w:r>
      <w:r>
        <w:rPr>
          <w:rFonts w:ascii="Arial" w:hAnsi="Arial" w:hint="cs"/>
          <w:b/>
          <w:bCs/>
          <w:noProof w:val="0"/>
          <w:rtl/>
        </w:rPr>
        <w:tab/>
        <w:t>סי</w:t>
      </w:r>
      <w:r w:rsidR="00A2429A">
        <w:rPr>
          <w:rFonts w:ascii="Arial" w:hAnsi="Arial"/>
          <w:b/>
          <w:bCs/>
          <w:noProof w:val="0"/>
          <w:rtl/>
        </w:rPr>
        <w:t>כומו של דבר</w:t>
      </w:r>
      <w:r w:rsidR="00A2429A">
        <w:rPr>
          <w:rFonts w:ascii="Arial" w:hAnsi="Arial"/>
          <w:noProof w:val="0"/>
          <w:rtl/>
        </w:rPr>
        <w:t xml:space="preserve">: הערעור מתקבל. החלטת ביהמ"ש שהורה על הפקדת הערובה מבוטלת ובית המשפט </w:t>
      </w:r>
      <w:r w:rsidR="007E4093">
        <w:rPr>
          <w:rFonts w:ascii="Arial" w:hAnsi="Arial" w:hint="cs"/>
          <w:noProof w:val="0"/>
          <w:rtl/>
        </w:rPr>
        <w:t xml:space="preserve">קמא </w:t>
      </w:r>
      <w:r w:rsidR="00A2429A">
        <w:rPr>
          <w:rFonts w:ascii="Arial" w:hAnsi="Arial"/>
          <w:noProof w:val="0"/>
          <w:rtl/>
        </w:rPr>
        <w:t>יכריע בערעור לגופו.</w:t>
      </w:r>
      <w:r>
        <w:rPr>
          <w:rFonts w:ascii="Arial" w:hAnsi="Arial" w:hint="cs"/>
          <w:noProof w:val="0"/>
          <w:rtl/>
        </w:rPr>
        <w:t xml:space="preserve"> </w:t>
      </w:r>
      <w:r w:rsidR="00A2429A">
        <w:rPr>
          <w:rFonts w:ascii="Arial" w:hAnsi="Arial"/>
          <w:noProof w:val="0"/>
          <w:rtl/>
        </w:rPr>
        <w:t>המשיב</w:t>
      </w:r>
      <w:r>
        <w:rPr>
          <w:rFonts w:ascii="Arial" w:hAnsi="Arial" w:hint="cs"/>
          <w:noProof w:val="0"/>
          <w:rtl/>
        </w:rPr>
        <w:t>ים</w:t>
      </w:r>
      <w:r w:rsidR="00A2429A">
        <w:rPr>
          <w:rFonts w:ascii="Arial" w:hAnsi="Arial"/>
          <w:noProof w:val="0"/>
          <w:rtl/>
        </w:rPr>
        <w:t xml:space="preserve"> ישל</w:t>
      </w:r>
      <w:r>
        <w:rPr>
          <w:rFonts w:ascii="Arial" w:hAnsi="Arial" w:hint="cs"/>
          <w:noProof w:val="0"/>
          <w:rtl/>
        </w:rPr>
        <w:t>מו</w:t>
      </w:r>
      <w:r w:rsidR="00A2429A">
        <w:rPr>
          <w:rFonts w:ascii="Arial" w:hAnsi="Arial"/>
          <w:noProof w:val="0"/>
          <w:rtl/>
        </w:rPr>
        <w:t xml:space="preserve"> למערער הוצאות ושכ"ט עו"ד בסך של 7,500 ₪.</w:t>
      </w:r>
      <w:r>
        <w:rPr>
          <w:rFonts w:ascii="Arial" w:hAnsi="Arial" w:hint="cs"/>
          <w:noProof w:val="0"/>
          <w:rtl/>
        </w:rPr>
        <w:t xml:space="preserve"> </w:t>
      </w:r>
    </w:p>
    <w:p w:rsidR="001827B4" w:rsidRDefault="001827B4" w:rsidP="001827B4">
      <w:pPr>
        <w:spacing w:line="360" w:lineRule="auto"/>
        <w:ind w:left="360" w:hanging="360"/>
        <w:jc w:val="both"/>
        <w:rPr>
          <w:rFonts w:ascii="Arial" w:hAnsi="Arial"/>
          <w:noProof w:val="0"/>
          <w:rtl/>
        </w:rPr>
      </w:pPr>
    </w:p>
    <w:p w:rsidR="00A2429A" w:rsidRDefault="001827B4" w:rsidP="00171A84">
      <w:pPr>
        <w:spacing w:line="360" w:lineRule="auto"/>
        <w:ind w:left="360" w:hanging="360"/>
        <w:jc w:val="both"/>
        <w:rPr>
          <w:rFonts w:ascii="Arial" w:hAnsi="Arial"/>
          <w:noProof w:val="0"/>
          <w:rtl/>
        </w:rPr>
      </w:pPr>
      <w:r>
        <w:rPr>
          <w:rFonts w:ascii="Arial" w:hAnsi="Arial" w:hint="cs"/>
          <w:noProof w:val="0"/>
          <w:rtl/>
        </w:rPr>
        <w:t>10.</w:t>
      </w:r>
      <w:r>
        <w:rPr>
          <w:rFonts w:ascii="Arial" w:hAnsi="Arial"/>
          <w:noProof w:val="0"/>
          <w:rtl/>
        </w:rPr>
        <w:tab/>
      </w:r>
      <w:r w:rsidR="00171A84">
        <w:rPr>
          <w:rFonts w:ascii="Arial" w:hAnsi="Arial"/>
          <w:noProof w:val="0"/>
          <w:rtl/>
        </w:rPr>
        <w:tab/>
      </w:r>
      <w:r>
        <w:rPr>
          <w:rFonts w:ascii="Arial" w:hAnsi="Arial" w:hint="cs"/>
          <w:noProof w:val="0"/>
          <w:rtl/>
        </w:rPr>
        <w:t>פסק הדין מותר לפרסום בכפוף להשמטת הפרטים המזהים.</w:t>
      </w:r>
      <w:r w:rsidR="00A2429A">
        <w:rPr>
          <w:rFonts w:ascii="Arial" w:hAnsi="Arial"/>
          <w:noProof w:val="0"/>
          <w:rtl/>
        </w:rPr>
        <w:t xml:space="preserve"> </w:t>
      </w:r>
    </w:p>
    <w:p w:rsidR="001827B4" w:rsidRDefault="001827B4" w:rsidP="00A2429A">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יוני 2023</w:t>
          </w:r>
        </w:sdtContent>
      </w:sdt>
      <w:r w:rsidR="00005C8B">
        <w:rPr>
          <w:rFonts w:ascii="Arial" w:hAnsi="Arial"/>
          <w:noProof w:val="0"/>
          <w:rtl/>
        </w:rPr>
        <w:t>, בהעדר הצדדים.</w:t>
      </w:r>
    </w:p>
    <w:p w:rsidR="00C43648" w:rsidRDefault="00124EE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01699826"/>
        </w:sdtPr>
        <w:sdtEndPr/>
        <w:sdtContent>
          <w:r w:rsidR="00171A84">
            <w:drawing>
              <wp:inline distT="0" distB="0" distL="0" distR="0" wp14:editId="50D07946">
                <wp:extent cx="13335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33500" cy="704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C5B01">
      <w:headerReference w:type="default" r:id="rId9"/>
      <w:footerReference w:type="default" r:id="rId10"/>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EE3" w:rsidRDefault="00124EE3">
      <w:r>
        <w:separator/>
      </w:r>
    </w:p>
  </w:endnote>
  <w:endnote w:type="continuationSeparator" w:id="0">
    <w:p w:rsidR="00124EE3" w:rsidRDefault="00124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900F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900F7">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EE3" w:rsidRDefault="00124EE3">
      <w:r>
        <w:separator/>
      </w:r>
    </w:p>
  </w:footnote>
  <w:footnote w:type="continuationSeparator" w:id="0">
    <w:p w:rsidR="00124EE3" w:rsidRDefault="00124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 יפו בשבתו כבית-משפט לערעורים אזרחיים</w:t>
              </w:r>
            </w:p>
          </w:tc>
        </w:sdtContent>
      </w:sdt>
    </w:tr>
    <w:tr w:rsidR="00694556" w:rsidRPr="00FA4EAF" w:rsidTr="001C5B01">
      <w:trPr>
        <w:trHeight w:val="337"/>
        <w:jc w:val="center"/>
      </w:trPr>
      <w:tc>
        <w:tcPr>
          <w:tcW w:w="8307" w:type="dxa"/>
        </w:tcPr>
        <w:p w:rsidR="007D45E3" w:rsidRPr="00FA4EAF" w:rsidRDefault="00124EE3" w:rsidP="008D3BCC">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רמ"ש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31279-05-23</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71A84">
                <w:rPr>
                  <w:b/>
                  <w:bCs/>
                  <w:noProof w:val="0"/>
                  <w:sz w:val="26"/>
                  <w:szCs w:val="26"/>
                  <w:rtl/>
                </w:rPr>
                <w:t>פ</w:t>
              </w:r>
              <w:r w:rsidR="00171A84">
                <w:rPr>
                  <w:rFonts w:hint="cs"/>
                  <w:b/>
                  <w:bCs/>
                  <w:noProof w:val="0"/>
                  <w:sz w:val="26"/>
                  <w:szCs w:val="26"/>
                  <w:rtl/>
                </w:rPr>
                <w:t xml:space="preserve">' </w:t>
              </w:r>
              <w:r w:rsidR="00171A84">
                <w:rPr>
                  <w:b/>
                  <w:bCs/>
                  <w:noProof w:val="0"/>
                  <w:sz w:val="26"/>
                  <w:szCs w:val="26"/>
                  <w:rtl/>
                </w:rPr>
                <w:t>נ' א</w:t>
              </w:r>
              <w:r w:rsidR="00171A84">
                <w:rPr>
                  <w:rFonts w:hint="cs"/>
                  <w:b/>
                  <w:bCs/>
                  <w:noProof w:val="0"/>
                  <w:sz w:val="26"/>
                  <w:szCs w:val="26"/>
                  <w:rtl/>
                </w:rPr>
                <w:t>'</w:t>
              </w:r>
              <w:r w:rsidR="008D3BCC">
                <w:rPr>
                  <w:b/>
                  <w:bCs/>
                  <w:noProof w:val="0"/>
                  <w:sz w:val="26"/>
                  <w:szCs w:val="26"/>
                  <w:rtl/>
                </w:rPr>
                <w:t xml:space="preserve">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50C9B"/>
    <w:multiLevelType w:val="hybridMultilevel"/>
    <w:tmpl w:val="CD9C840C"/>
    <w:lvl w:ilvl="0" w:tplc="9F68CBF4">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MEgpvJzQIO+Tkzpmtem72SbRMojecRH6LINdZ6J2r2Ngzadbu1tzYtoiBYP5KG/TQ+Xd9c4+BrLJ8LDP02TTxg==" w:salt="RszGM1vj7gBOJdH6jGdj1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4EE3"/>
    <w:rsid w:val="001367BC"/>
    <w:rsid w:val="00144D2A"/>
    <w:rsid w:val="0014653E"/>
    <w:rsid w:val="00171A84"/>
    <w:rsid w:val="00180519"/>
    <w:rsid w:val="001827B4"/>
    <w:rsid w:val="00191C82"/>
    <w:rsid w:val="001B48A4"/>
    <w:rsid w:val="001C3FD7"/>
    <w:rsid w:val="001C4003"/>
    <w:rsid w:val="001C5B01"/>
    <w:rsid w:val="001D3441"/>
    <w:rsid w:val="001D4DBF"/>
    <w:rsid w:val="001E75CA"/>
    <w:rsid w:val="001E7D90"/>
    <w:rsid w:val="001F5DB6"/>
    <w:rsid w:val="002265FF"/>
    <w:rsid w:val="00271B56"/>
    <w:rsid w:val="00291593"/>
    <w:rsid w:val="002C344E"/>
    <w:rsid w:val="002E75E9"/>
    <w:rsid w:val="00307A6A"/>
    <w:rsid w:val="00307C40"/>
    <w:rsid w:val="003201AA"/>
    <w:rsid w:val="00320433"/>
    <w:rsid w:val="003230C7"/>
    <w:rsid w:val="00327E50"/>
    <w:rsid w:val="0033597A"/>
    <w:rsid w:val="00343D89"/>
    <w:rsid w:val="00362612"/>
    <w:rsid w:val="0036743F"/>
    <w:rsid w:val="003715DD"/>
    <w:rsid w:val="003763AB"/>
    <w:rsid w:val="003823E0"/>
    <w:rsid w:val="003A4521"/>
    <w:rsid w:val="003D1C8C"/>
    <w:rsid w:val="0040096C"/>
    <w:rsid w:val="00414F1F"/>
    <w:rsid w:val="0043125D"/>
    <w:rsid w:val="0043502B"/>
    <w:rsid w:val="004443AC"/>
    <w:rsid w:val="00451E28"/>
    <w:rsid w:val="00462C62"/>
    <w:rsid w:val="00465D36"/>
    <w:rsid w:val="004C17EE"/>
    <w:rsid w:val="004C4BDF"/>
    <w:rsid w:val="004D1187"/>
    <w:rsid w:val="004D3AA0"/>
    <w:rsid w:val="004E1987"/>
    <w:rsid w:val="004E2E15"/>
    <w:rsid w:val="004E6E3C"/>
    <w:rsid w:val="00513175"/>
    <w:rsid w:val="00520898"/>
    <w:rsid w:val="00523621"/>
    <w:rsid w:val="00524986"/>
    <w:rsid w:val="005268F6"/>
    <w:rsid w:val="00534284"/>
    <w:rsid w:val="0054494A"/>
    <w:rsid w:val="00547DB7"/>
    <w:rsid w:val="00555E2B"/>
    <w:rsid w:val="005F4F09"/>
    <w:rsid w:val="0061431B"/>
    <w:rsid w:val="00616D37"/>
    <w:rsid w:val="00617CEE"/>
    <w:rsid w:val="00622BAA"/>
    <w:rsid w:val="006306CF"/>
    <w:rsid w:val="00644E9A"/>
    <w:rsid w:val="00671BD5"/>
    <w:rsid w:val="006805C1"/>
    <w:rsid w:val="00686C21"/>
    <w:rsid w:val="006931C1"/>
    <w:rsid w:val="00694556"/>
    <w:rsid w:val="006C30C5"/>
    <w:rsid w:val="006D3B31"/>
    <w:rsid w:val="006E0D96"/>
    <w:rsid w:val="006E1A53"/>
    <w:rsid w:val="006E4371"/>
    <w:rsid w:val="006F56E6"/>
    <w:rsid w:val="00704EDA"/>
    <w:rsid w:val="00721122"/>
    <w:rsid w:val="00744B1C"/>
    <w:rsid w:val="00753019"/>
    <w:rsid w:val="00754801"/>
    <w:rsid w:val="007820CF"/>
    <w:rsid w:val="00795365"/>
    <w:rsid w:val="007A351D"/>
    <w:rsid w:val="007B7765"/>
    <w:rsid w:val="007C37CA"/>
    <w:rsid w:val="007C5BDD"/>
    <w:rsid w:val="007D45E3"/>
    <w:rsid w:val="007E4093"/>
    <w:rsid w:val="007E6115"/>
    <w:rsid w:val="007F4609"/>
    <w:rsid w:val="008176A1"/>
    <w:rsid w:val="00820005"/>
    <w:rsid w:val="00844318"/>
    <w:rsid w:val="00863F5D"/>
    <w:rsid w:val="00870890"/>
    <w:rsid w:val="00873602"/>
    <w:rsid w:val="00875D12"/>
    <w:rsid w:val="008800CD"/>
    <w:rsid w:val="0088479D"/>
    <w:rsid w:val="00896889"/>
    <w:rsid w:val="008C5714"/>
    <w:rsid w:val="008D10B2"/>
    <w:rsid w:val="008D3BCC"/>
    <w:rsid w:val="008F5AAE"/>
    <w:rsid w:val="00903896"/>
    <w:rsid w:val="00906F3D"/>
    <w:rsid w:val="0094424E"/>
    <w:rsid w:val="00955642"/>
    <w:rsid w:val="009622DF"/>
    <w:rsid w:val="00967DFF"/>
    <w:rsid w:val="009900F7"/>
    <w:rsid w:val="00994341"/>
    <w:rsid w:val="009B4939"/>
    <w:rsid w:val="009D1A48"/>
    <w:rsid w:val="009E1CE7"/>
    <w:rsid w:val="009E4EA5"/>
    <w:rsid w:val="009F164B"/>
    <w:rsid w:val="009F323C"/>
    <w:rsid w:val="00A0039A"/>
    <w:rsid w:val="00A2429A"/>
    <w:rsid w:val="00A3392B"/>
    <w:rsid w:val="00A94B64"/>
    <w:rsid w:val="00AA3229"/>
    <w:rsid w:val="00AA7596"/>
    <w:rsid w:val="00AB5E52"/>
    <w:rsid w:val="00AC3B02"/>
    <w:rsid w:val="00AC3B7B"/>
    <w:rsid w:val="00AC5209"/>
    <w:rsid w:val="00AD00A6"/>
    <w:rsid w:val="00AE729E"/>
    <w:rsid w:val="00AE7752"/>
    <w:rsid w:val="00AF7FDA"/>
    <w:rsid w:val="00B5154F"/>
    <w:rsid w:val="00B51813"/>
    <w:rsid w:val="00B5356E"/>
    <w:rsid w:val="00B55E71"/>
    <w:rsid w:val="00B809AD"/>
    <w:rsid w:val="00B80CBD"/>
    <w:rsid w:val="00B86096"/>
    <w:rsid w:val="00B95A71"/>
    <w:rsid w:val="00B964D9"/>
    <w:rsid w:val="00BA0A7C"/>
    <w:rsid w:val="00BA517C"/>
    <w:rsid w:val="00BB3AFF"/>
    <w:rsid w:val="00BB3D05"/>
    <w:rsid w:val="00BB73BE"/>
    <w:rsid w:val="00BC2D89"/>
    <w:rsid w:val="00BD6531"/>
    <w:rsid w:val="00BE05B2"/>
    <w:rsid w:val="00BF1908"/>
    <w:rsid w:val="00BF7F3B"/>
    <w:rsid w:val="00C07BB0"/>
    <w:rsid w:val="00C22D93"/>
    <w:rsid w:val="00C31120"/>
    <w:rsid w:val="00C34482"/>
    <w:rsid w:val="00C37AF2"/>
    <w:rsid w:val="00C43648"/>
    <w:rsid w:val="00C50A9F"/>
    <w:rsid w:val="00C53EB8"/>
    <w:rsid w:val="00C620EE"/>
    <w:rsid w:val="00C642FA"/>
    <w:rsid w:val="00C65565"/>
    <w:rsid w:val="00C679AF"/>
    <w:rsid w:val="00CA15CD"/>
    <w:rsid w:val="00CC5055"/>
    <w:rsid w:val="00CC7622"/>
    <w:rsid w:val="00CC7EC6"/>
    <w:rsid w:val="00CD0565"/>
    <w:rsid w:val="00CD608F"/>
    <w:rsid w:val="00D27982"/>
    <w:rsid w:val="00D33B86"/>
    <w:rsid w:val="00D53924"/>
    <w:rsid w:val="00D55D0C"/>
    <w:rsid w:val="00D627CF"/>
    <w:rsid w:val="00D74378"/>
    <w:rsid w:val="00D9317F"/>
    <w:rsid w:val="00D96D8C"/>
    <w:rsid w:val="00DA6649"/>
    <w:rsid w:val="00DC1259"/>
    <w:rsid w:val="00DC1BD2"/>
    <w:rsid w:val="00DC2571"/>
    <w:rsid w:val="00DC487C"/>
    <w:rsid w:val="00DE6BF6"/>
    <w:rsid w:val="00E03BD1"/>
    <w:rsid w:val="00E1068A"/>
    <w:rsid w:val="00E25884"/>
    <w:rsid w:val="00E25B55"/>
    <w:rsid w:val="00E31C2B"/>
    <w:rsid w:val="00E37181"/>
    <w:rsid w:val="00E5426A"/>
    <w:rsid w:val="00E54642"/>
    <w:rsid w:val="00E608C6"/>
    <w:rsid w:val="00E6677E"/>
    <w:rsid w:val="00E80CBE"/>
    <w:rsid w:val="00E962E3"/>
    <w:rsid w:val="00EB6C79"/>
    <w:rsid w:val="00EC37E9"/>
    <w:rsid w:val="00F06995"/>
    <w:rsid w:val="00F13623"/>
    <w:rsid w:val="00F44D1D"/>
    <w:rsid w:val="00F73106"/>
    <w:rsid w:val="00F84B6D"/>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242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37294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B2179" w:rsidP="001B2179">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B2179"/>
    <w:rsid w:val="002B5B59"/>
    <w:rsid w:val="002D02C4"/>
    <w:rsid w:val="002E734C"/>
    <w:rsid w:val="00334638"/>
    <w:rsid w:val="00345C9D"/>
    <w:rsid w:val="003E1A82"/>
    <w:rsid w:val="0048651F"/>
    <w:rsid w:val="00556D67"/>
    <w:rsid w:val="00584867"/>
    <w:rsid w:val="00793995"/>
    <w:rsid w:val="007C6F98"/>
    <w:rsid w:val="007E254A"/>
    <w:rsid w:val="008B4366"/>
    <w:rsid w:val="009133C7"/>
    <w:rsid w:val="009178E4"/>
    <w:rsid w:val="00961B27"/>
    <w:rsid w:val="00A87A62"/>
    <w:rsid w:val="00AA7CE3"/>
    <w:rsid w:val="00B91FA3"/>
    <w:rsid w:val="00C96C06"/>
    <w:rsid w:val="00E31BF6"/>
    <w:rsid w:val="00E81DB1"/>
    <w:rsid w:val="00F04DC1"/>
    <w:rsid w:val="00F178ED"/>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B2179"/>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1B2179"/>
    <w:pPr>
      <w:bidi/>
      <w:spacing w:after="0" w:line="240" w:lineRule="auto"/>
    </w:pPr>
    <w:rPr>
      <w:rFonts w:ascii="Times New Roman" w:eastAsia="Times New Roman" w:hAnsi="Times New Roman" w:cs="David"/>
      <w:noProof/>
      <w:sz w:val="24"/>
      <w:szCs w:val="24"/>
    </w:rPr>
  </w:style>
  <w:style w:type="paragraph" w:customStyle="1" w:styleId="AE15E1700E8C40948002525CB9146FC7">
    <w:name w:val="AE15E1700E8C40948002525CB9146FC7"/>
    <w:rsid w:val="001B2179"/>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1982</Words>
  <Characters>9910</Characters>
  <Application>Microsoft Office Word</Application>
  <DocSecurity>8</DocSecurity>
  <Lines>82</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2023-06-29T12:44:00Z</dcterms:created>
  <dcterms:modified xsi:type="dcterms:W3CDTF">2023-06-29T12:44:00Z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